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EFB8">
      <w:pPr>
        <w:ind w:firstLine="787" w:firstLineChars="245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首都经济贸易大学20</w:t>
      </w:r>
      <w:r>
        <w:rPr>
          <w:rFonts w:ascii="仿宋_GB2312" w:eastAsia="仿宋_GB2312"/>
          <w:b/>
          <w:sz w:val="32"/>
          <w:szCs w:val="32"/>
        </w:rPr>
        <w:t>26</w:t>
      </w:r>
      <w:r>
        <w:rPr>
          <w:rFonts w:hint="eastAsia" w:ascii="仿宋_GB2312" w:eastAsia="仿宋_GB2312"/>
          <w:b/>
          <w:sz w:val="32"/>
          <w:szCs w:val="32"/>
        </w:rPr>
        <w:t>年硕士研究生招生考试</w:t>
      </w:r>
    </w:p>
    <w:p w14:paraId="207D40B3">
      <w:pPr>
        <w:ind w:firstLine="787" w:firstLineChars="245"/>
        <w:jc w:val="center"/>
        <w:rPr>
          <w:rFonts w:hint="eastAsia" w:ascii="仿宋_GB2312" w:hAnsi="Arial" w:eastAsia="仿宋_GB2312" w:cs="Arial"/>
          <w:b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sz w:val="32"/>
          <w:szCs w:val="32"/>
          <w:lang w:eastAsia="zh-CN"/>
        </w:rPr>
        <w:t xml:space="preserve"> 025800《</w:t>
      </w:r>
      <w:r>
        <w:rPr>
          <w:rFonts w:hint="eastAsia" w:ascii="仿宋_GB2312" w:eastAsia="仿宋_GB2312" w:cs="Arial"/>
          <w:b/>
          <w:sz w:val="32"/>
          <w:szCs w:val="32"/>
          <w:lang w:val="en-US" w:eastAsia="zh-CN"/>
        </w:rPr>
        <w:t>数字经济</w:t>
      </w:r>
      <w:bookmarkStart w:id="1" w:name="_GoBack"/>
      <w:bookmarkEnd w:id="1"/>
      <w:r>
        <w:rPr>
          <w:rFonts w:hint="eastAsia" w:ascii="仿宋_GB2312" w:hAnsi="Arial" w:eastAsia="仿宋_GB2312" w:cs="Arial"/>
          <w:b/>
          <w:sz w:val="32"/>
          <w:szCs w:val="32"/>
          <w:lang w:eastAsia="zh-CN"/>
        </w:rPr>
        <w:t>专业综合》复试考试大纲</w:t>
      </w:r>
    </w:p>
    <w:p w14:paraId="0027D917">
      <w:pPr>
        <w:spacing w:line="267" w:lineRule="auto"/>
        <w:rPr>
          <w:lang w:eastAsia="zh-CN"/>
        </w:rPr>
      </w:pPr>
    </w:p>
    <w:p w14:paraId="145EE776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02C910C7"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1.本科目考试时不得使用计算器。</w:t>
      </w:r>
    </w:p>
    <w:p w14:paraId="4DFC2952">
      <w:pPr>
        <w:wordWrap w:val="0"/>
        <w:jc w:val="left"/>
        <w:rPr>
          <w:lang w:eastAsia="zh-CN"/>
        </w:rPr>
      </w:pPr>
      <w:r>
        <w:rPr>
          <w:rFonts w:hint="eastAsia" w:ascii="仿宋_GB2312" w:eastAsia="仿宋_GB2312"/>
          <w:sz w:val="24"/>
        </w:rPr>
        <w:t>2.请考生随时关注我校研究生院网站招生动态栏目（网址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"https://yjs.cueb.edu.cn/zsks/zsdt/index.htm" </w:instrText>
      </w:r>
      <w:r>
        <w:rPr>
          <w:rFonts w:ascii="仿宋_GB2312" w:eastAsia="仿宋_GB2312"/>
          <w:sz w:val="24"/>
        </w:rPr>
        <w:fldChar w:fldCharType="separate"/>
      </w:r>
      <w:r>
        <w:rPr>
          <w:rStyle w:val="7"/>
          <w:rFonts w:ascii="仿宋_GB2312" w:eastAsia="仿宋_GB2312"/>
          <w:sz w:val="24"/>
        </w:rPr>
        <w:t>https://yjs.cueb.edu.cn/zsks/zsdt/index.htm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），如有大纲更新或变动，均以官方网站的最近通知为准。</w:t>
      </w:r>
    </w:p>
    <w:p w14:paraId="46123A0B">
      <w:pPr>
        <w:pStyle w:val="4"/>
        <w:widowControl w:val="0"/>
        <w:kinsoku/>
        <w:autoSpaceDE/>
        <w:autoSpaceDN/>
        <w:adjustRightInd/>
        <w:snapToGrid/>
        <w:spacing w:line="240" w:lineRule="auto"/>
        <w:textAlignment w:val="auto"/>
        <w:rPr>
          <w:rFonts w:hint="eastAsia" w:ascii="宋体" w:hAnsi="宋体" w:eastAsia="宋体"/>
          <w:snapToGrid/>
          <w:color w:val="000000"/>
          <w:kern w:val="2"/>
          <w:sz w:val="28"/>
          <w:szCs w:val="28"/>
          <w:lang w:eastAsia="zh-CN"/>
        </w:rPr>
      </w:pPr>
    </w:p>
    <w:p w14:paraId="4449A4C6">
      <w:pPr>
        <w:pStyle w:val="4"/>
        <w:widowControl w:val="0"/>
        <w:kinsoku/>
        <w:autoSpaceDE/>
        <w:autoSpaceDN/>
        <w:adjustRightInd/>
        <w:snapToGrid/>
        <w:spacing w:line="240" w:lineRule="auto"/>
        <w:textAlignment w:val="auto"/>
        <w:rPr>
          <w:rFonts w:hint="eastAsia" w:ascii="宋体" w:hAnsi="宋体" w:eastAsia="宋体"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napToGrid/>
          <w:color w:val="000000"/>
          <w:kern w:val="2"/>
          <w:sz w:val="28"/>
          <w:szCs w:val="28"/>
          <w:lang w:val="en-US" w:eastAsia="zh-CN"/>
        </w:rPr>
        <w:t>第一部分   考试说明</w:t>
      </w:r>
    </w:p>
    <w:p w14:paraId="584317BF">
      <w:pPr>
        <w:pStyle w:val="2"/>
        <w:spacing w:before="288" w:line="220" w:lineRule="auto"/>
        <w:ind w:left="29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一、考试范围</w:t>
      </w:r>
    </w:p>
    <w:p w14:paraId="20F2CFBB">
      <w:pPr>
        <w:pStyle w:val="2"/>
        <w:spacing w:before="232" w:line="360" w:lineRule="auto"/>
        <w:ind w:left="22" w:right="13" w:firstLine="421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本考试大纲综合了国内外金融学科的主要内容，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考试内容分布于参考书目当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中。考试范围从知识角度包括了货币基础知识、信用与融资、利息与利率、金融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机构体系、金融市场、国际金融、投资学、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数字金融基础等内容。</w:t>
      </w:r>
    </w:p>
    <w:p w14:paraId="1E180E81">
      <w:pPr>
        <w:pStyle w:val="2"/>
        <w:spacing w:before="1" w:line="361" w:lineRule="auto"/>
        <w:ind w:left="23" w:right="13" w:firstLine="481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我们既强调金融基本概念与基本原理，也强调理论联系实际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。同时，宏观与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微观金融供求主体的分化也是近年来金融学科变革的明显现象。最后，我们也兼顾新颖性与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实用性的考虑，来划定考试范围。</w:t>
      </w:r>
    </w:p>
    <w:p w14:paraId="1BF12EFA">
      <w:pPr>
        <w:pStyle w:val="2"/>
        <w:spacing w:before="53" w:line="220" w:lineRule="auto"/>
        <w:ind w:left="2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eastAsia="zh-CN"/>
        </w:rPr>
        <w:t>二、考试形式与试卷结构</w:t>
      </w:r>
    </w:p>
    <w:p w14:paraId="0EA3E492">
      <w:pPr>
        <w:pStyle w:val="2"/>
        <w:spacing w:before="290" w:line="221" w:lineRule="auto"/>
        <w:ind w:left="33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答卷方式：闭卷，笔试</w:t>
      </w:r>
    </w:p>
    <w:p w14:paraId="40846DE9">
      <w:pPr>
        <w:pStyle w:val="2"/>
        <w:spacing w:before="289" w:line="221" w:lineRule="auto"/>
        <w:ind w:left="33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答题时间：120 分钟</w:t>
      </w:r>
    </w:p>
    <w:p w14:paraId="33795851">
      <w:pPr>
        <w:pStyle w:val="2"/>
        <w:spacing w:before="289" w:line="220" w:lineRule="auto"/>
        <w:ind w:left="33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1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满分：100 分</w:t>
      </w:r>
    </w:p>
    <w:p w14:paraId="513DD8A4">
      <w:pPr>
        <w:pStyle w:val="2"/>
        <w:spacing w:before="291" w:line="222" w:lineRule="auto"/>
        <w:ind w:left="25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三、题型</w:t>
      </w:r>
    </w:p>
    <w:p w14:paraId="4CACF4C7">
      <w:pPr>
        <w:pStyle w:val="2"/>
        <w:spacing w:before="229" w:line="219" w:lineRule="auto"/>
        <w:ind w:left="46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pacing w:val="-3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、名词解释</w:t>
      </w:r>
    </w:p>
    <w:p w14:paraId="22375109">
      <w:pPr>
        <w:pStyle w:val="2"/>
        <w:spacing w:before="182" w:line="219" w:lineRule="auto"/>
        <w:ind w:left="43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pacing w:val="-3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、简答题</w:t>
      </w:r>
    </w:p>
    <w:p w14:paraId="3F2C7879">
      <w:pPr>
        <w:pStyle w:val="2"/>
        <w:spacing w:before="184" w:line="219" w:lineRule="auto"/>
        <w:ind w:left="44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  <w:lang w:eastAsia="zh-CN"/>
        </w:rPr>
        <w:t>、计算题</w:t>
      </w:r>
    </w:p>
    <w:p w14:paraId="28168842">
      <w:pPr>
        <w:pStyle w:val="2"/>
        <w:spacing w:before="184" w:line="221" w:lineRule="auto"/>
        <w:ind w:left="4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spacing w:val="-3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、论述题</w:t>
      </w:r>
    </w:p>
    <w:p w14:paraId="03761EB4">
      <w:pPr>
        <w:pStyle w:val="2"/>
        <w:spacing w:before="239" w:line="219" w:lineRule="auto"/>
        <w:ind w:left="51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lang w:eastAsia="zh-CN"/>
        </w:rPr>
        <w:t>四、参考书目</w:t>
      </w:r>
    </w:p>
    <w:p w14:paraId="658480E2">
      <w:pPr>
        <w:pStyle w:val="2"/>
        <w:spacing w:before="232" w:line="290" w:lineRule="auto"/>
        <w:ind w:left="24" w:right="13" w:firstLine="43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1、《投资学（原书第</w:t>
      </w:r>
      <w:r>
        <w:rPr>
          <w:rFonts w:hint="eastAsia" w:ascii="宋体" w:hAnsi="宋体" w:eastAsia="宋体" w:cs="宋体"/>
          <w:spacing w:val="-25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版）》，兹维.博迪(Zvi</w:t>
      </w:r>
      <w:r>
        <w:rPr>
          <w:rFonts w:hint="eastAsia" w:ascii="宋体" w:hAnsi="宋体" w:eastAsia="宋体" w:cs="宋体"/>
          <w:spacing w:val="-3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Bodie)等著，机械工业出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版社</w:t>
      </w:r>
    </w:p>
    <w:p w14:paraId="27513F5C">
      <w:pPr>
        <w:pStyle w:val="2"/>
        <w:spacing w:before="182" w:line="290" w:lineRule="auto"/>
        <w:ind w:left="27" w:right="13" w:firstLine="41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2、《货币金融学（第</w:t>
      </w:r>
      <w:r>
        <w:rPr>
          <w:rFonts w:hint="eastAsia" w:ascii="宋体" w:hAnsi="宋体" w:eastAsia="宋体" w:cs="宋体"/>
          <w:spacing w:val="-3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12</w:t>
      </w:r>
      <w:r>
        <w:rPr>
          <w:rFonts w:hint="eastAsia" w:ascii="宋体" w:hAnsi="宋体" w:eastAsia="宋体" w:cs="宋体"/>
          <w:spacing w:val="-5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版）》，弗雷德里克.S.米什金(Frderic</w:t>
      </w:r>
      <w:r>
        <w:rPr>
          <w:rFonts w:hint="eastAsia" w:ascii="宋体" w:hAnsi="宋体" w:eastAsia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S.Mis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hkin)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著，中国人民大学出版社</w:t>
      </w:r>
    </w:p>
    <w:p w14:paraId="1EFB9ADC">
      <w:pPr>
        <w:pStyle w:val="2"/>
        <w:spacing w:before="69" w:line="468" w:lineRule="exact"/>
        <w:ind w:left="448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position w:val="5"/>
          <w:sz w:val="24"/>
          <w:szCs w:val="24"/>
          <w:lang w:eastAsia="zh-CN"/>
        </w:rPr>
        <w:t>3、《数字金融导论》，曾燕主编，杨佳慧、任诗婷副主编，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"http://search.dangdang.com/?key3=%B1%B1%BE%A9%B4%F3%D1%A7%B3%F6%B0%E6%C9%E7&amp;medium=01&amp;category_path=01.00.00.00.00.00"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pacing w:val="-1"/>
          <w:position w:val="5"/>
          <w:sz w:val="24"/>
          <w:szCs w:val="24"/>
          <w:lang w:eastAsia="zh-CN"/>
        </w:rPr>
        <w:t>北京大学出版</w:t>
      </w:r>
      <w:r>
        <w:rPr>
          <w:rFonts w:hint="eastAsia" w:ascii="宋体" w:hAnsi="宋体" w:eastAsia="宋体" w:cs="宋体"/>
          <w:spacing w:val="-1"/>
          <w:position w:val="5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"http://search.dangdang.com/?key3=%B1%B1%BE%A9%B4%F3%D1%A7%B3%F6%B0%E6%C9%E7&amp;medium=01&amp;category_path=01.00.00.00.00.00"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</w:p>
    <w:p w14:paraId="35709E13">
      <w:pPr>
        <w:pStyle w:val="4"/>
        <w:widowControl w:val="0"/>
        <w:kinsoku/>
        <w:autoSpaceDE/>
        <w:autoSpaceDN/>
        <w:adjustRightInd/>
        <w:snapToGrid/>
        <w:spacing w:line="240" w:lineRule="auto"/>
        <w:textAlignment w:val="auto"/>
        <w:rPr>
          <w:rFonts w:hint="eastAsia" w:ascii="宋体" w:hAnsi="宋体" w:eastAsia="宋体"/>
          <w:snapToGrid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/>
          <w:snapToGrid/>
          <w:color w:val="000000"/>
          <w:kern w:val="2"/>
          <w:sz w:val="28"/>
          <w:szCs w:val="28"/>
          <w:lang w:eastAsia="zh-CN"/>
        </w:rPr>
        <w:t>第二部分   考试内容</w:t>
      </w:r>
    </w:p>
    <w:p w14:paraId="307311FA">
      <w:pPr>
        <w:pStyle w:val="3"/>
        <w:jc w:val="lef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考生请注意：题型示例仅供参考，每类题型仅提供1道例题，实际考试试题数量与本部分不一定相同。</w:t>
      </w:r>
    </w:p>
    <w:p w14:paraId="29C6F4E2">
      <w:pPr>
        <w:pStyle w:val="2"/>
        <w:spacing w:before="229" w:line="361" w:lineRule="auto"/>
        <w:ind w:left="22" w:right="80" w:firstLine="494"/>
        <w:jc w:val="both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</w:p>
    <w:p w14:paraId="3C6D0290">
      <w:pPr>
        <w:pStyle w:val="2"/>
        <w:spacing w:before="229" w:line="361" w:lineRule="auto"/>
        <w:ind w:left="22" w:right="80" w:firstLine="49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随着我国金融业的改革和开放，金融学科也在发生深刻的变化。本考试内容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在继承传统的货币银行学框架的基础上，吸纳了西方微观金融方面的内容，使之既符合我国实际，又使考生对金融学科的概貌有一个科学的系统的把握，以跟上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时代的步伐。</w:t>
      </w:r>
    </w:p>
    <w:p w14:paraId="3D0828FA">
      <w:pPr>
        <w:pStyle w:val="2"/>
        <w:spacing w:before="150" w:line="360" w:lineRule="auto"/>
        <w:ind w:left="43" w:right="80" w:firstLine="52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需要掌握的内容主要包括金融学科最基本的和最重要的概念；需要熟悉的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内容主要包括内涵不断演化的概念或者重要理论，难度通常比前者大。需要了解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的内容包括金融学科发展前沿及当前热点问题。</w:t>
      </w:r>
    </w:p>
    <w:p w14:paraId="7D18D06A">
      <w:pPr>
        <w:pStyle w:val="2"/>
        <w:spacing w:before="1" w:line="218" w:lineRule="auto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考试内容涉及三大模块，即投资学模块、金融学模块和数字金融模块。</w:t>
      </w:r>
    </w:p>
    <w:p w14:paraId="3C006B4B">
      <w:pPr>
        <w:pStyle w:val="2"/>
        <w:spacing w:before="242" w:line="220" w:lineRule="auto"/>
        <w:ind w:left="603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一、投资学模块</w:t>
      </w:r>
    </w:p>
    <w:p w14:paraId="7720EE97">
      <w:pPr>
        <w:pStyle w:val="2"/>
        <w:spacing w:before="290" w:line="221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投资学基础知识</w:t>
      </w:r>
    </w:p>
    <w:p w14:paraId="456E0899">
      <w:pPr>
        <w:pStyle w:val="2"/>
        <w:spacing w:before="231" w:line="360" w:lineRule="auto"/>
        <w:ind w:left="32" w:right="80" w:firstLine="4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掌握金融市场的分类、全球主要金融市场、金融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市场与金融机构的区别；公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司发行证券的流程；共同基金与对冲基金的定义和区别。</w:t>
      </w:r>
    </w:p>
    <w:p w14:paraId="294CA53C">
      <w:pPr>
        <w:pStyle w:val="2"/>
        <w:spacing w:line="218" w:lineRule="auto"/>
        <w:ind w:left="52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了解金融市场与经济、投资过程、金融危机、中美证券市场基本情况等。</w:t>
      </w:r>
    </w:p>
    <w:p w14:paraId="7C6BA57E">
      <w:pPr>
        <w:pStyle w:val="2"/>
        <w:spacing w:before="243" w:line="220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资产组合理论与实践</w:t>
      </w:r>
    </w:p>
    <w:p w14:paraId="48B8C38A">
      <w:pPr>
        <w:pStyle w:val="2"/>
        <w:spacing w:before="232" w:line="360" w:lineRule="auto"/>
        <w:ind w:left="24" w:right="26" w:firstLine="4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掌握风险与风险厌恶、无风险资产、资本市场线、马科维茨资产组合理论、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风险溢价、最优风险资产组合等概念。</w:t>
      </w:r>
    </w:p>
    <w:p w14:paraId="73326D35">
      <w:pPr>
        <w:pStyle w:val="2"/>
        <w:spacing w:line="219" w:lineRule="auto"/>
        <w:ind w:left="52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了解单因素证券市场、单指数模型等概念。</w:t>
      </w:r>
    </w:p>
    <w:p w14:paraId="70946F8E">
      <w:pPr>
        <w:pStyle w:val="2"/>
        <w:spacing w:before="242" w:line="219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资本市场均衡</w:t>
      </w:r>
    </w:p>
    <w:p w14:paraId="09888A9B">
      <w:pPr>
        <w:pStyle w:val="2"/>
        <w:spacing w:before="233" w:line="360" w:lineRule="auto"/>
        <w:ind w:left="26" w:right="80" w:firstLine="48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掌握资本资产定价模型、套利定价理论与风险收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益多因素模型、有效市场假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说、随机游走等概念。</w:t>
      </w:r>
    </w:p>
    <w:p w14:paraId="563A2510">
      <w:pPr>
        <w:pStyle w:val="2"/>
        <w:spacing w:before="1" w:line="218" w:lineRule="auto"/>
        <w:ind w:left="52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了解行为金融与技术分析、证券收益的实证依据。</w:t>
      </w:r>
    </w:p>
    <w:p w14:paraId="0FACBEF7">
      <w:pPr>
        <w:pStyle w:val="2"/>
        <w:spacing w:before="241" w:line="221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3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证券分析</w:t>
      </w:r>
    </w:p>
    <w:p w14:paraId="3F24D512">
      <w:pPr>
        <w:pStyle w:val="2"/>
        <w:spacing w:before="230" w:line="362" w:lineRule="auto"/>
        <w:ind w:left="23" w:right="80" w:firstLine="486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掌握比较估值、内在价值与市场价值、股利贴现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模型、市盈率、自由现金估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值方法，并会计算。</w:t>
      </w:r>
    </w:p>
    <w:p w14:paraId="7223FD96">
      <w:pPr>
        <w:pStyle w:val="2"/>
        <w:spacing w:before="230" w:line="362" w:lineRule="auto"/>
        <w:ind w:left="23" w:right="80" w:firstLine="486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二、金融学模块</w:t>
      </w:r>
    </w:p>
    <w:p w14:paraId="69C46797">
      <w:pPr>
        <w:pStyle w:val="2"/>
        <w:spacing w:before="290" w:line="219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货币与金融体系</w:t>
      </w:r>
    </w:p>
    <w:p w14:paraId="2EC6EEB0">
      <w:pPr>
        <w:pStyle w:val="2"/>
        <w:spacing w:before="233" w:line="360" w:lineRule="auto"/>
        <w:ind w:left="29" w:right="200" w:firstLine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掌握货币的含义、货币的功能、货币的计量、金融市场的功能、金融市场的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结构、金融市场工具、金融中介机构的功能与类型。</w:t>
      </w:r>
    </w:p>
    <w:p w14:paraId="20BF9FD2">
      <w:pPr>
        <w:pStyle w:val="2"/>
        <w:spacing w:line="218" w:lineRule="auto"/>
        <w:ind w:left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了解货币的层次、金融体系的监管。</w:t>
      </w:r>
    </w:p>
    <w:p w14:paraId="7262F282">
      <w:pPr>
        <w:pStyle w:val="2"/>
        <w:spacing w:before="242" w:line="220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利率与金融市场</w:t>
      </w:r>
    </w:p>
    <w:p w14:paraId="58FE6068">
      <w:pPr>
        <w:pStyle w:val="2"/>
        <w:spacing w:before="231" w:line="360" w:lineRule="auto"/>
        <w:ind w:left="26" w:right="200" w:firstLine="423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掌握利率与利率风险、实际利率与名义利率的区别、债券市场的供给与需求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分析、流动性偏好理论、利率的决定因素、利率的风险结构、利率的期限结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构与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收益率曲线。</w:t>
      </w:r>
    </w:p>
    <w:p w14:paraId="31C5674C">
      <w:pPr>
        <w:pStyle w:val="2"/>
        <w:spacing w:before="1" w:line="219" w:lineRule="auto"/>
        <w:ind w:left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了解到期收益率与贴现收益率、费雪效应。</w:t>
      </w:r>
    </w:p>
    <w:p w14:paraId="7D18AF90">
      <w:pPr>
        <w:pStyle w:val="2"/>
        <w:spacing w:before="242" w:line="219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3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金融机构</w:t>
      </w:r>
    </w:p>
    <w:p w14:paraId="3714292A">
      <w:pPr>
        <w:pStyle w:val="2"/>
        <w:spacing w:before="233" w:line="360" w:lineRule="auto"/>
        <w:ind w:left="22" w:right="200" w:firstLine="427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掌握我国的金融机构体系、金融机构的信息不对称问题、逆向选择和道德风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险如何影响金融机构、商业银行的基本业务、银行管理的基本原则、商业银行的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存款创造、信用风险管理。</w:t>
      </w:r>
    </w:p>
    <w:p w14:paraId="1B7C01DB">
      <w:pPr>
        <w:pStyle w:val="2"/>
        <w:spacing w:line="218" w:lineRule="auto"/>
        <w:ind w:left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了解金融危机的影响因素与表现。</w:t>
      </w:r>
    </w:p>
    <w:p w14:paraId="7F6000FA">
      <w:pPr>
        <w:pStyle w:val="2"/>
        <w:spacing w:before="243" w:line="220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国际金融体系与外汇市场</w:t>
      </w:r>
    </w:p>
    <w:p w14:paraId="21126F88">
      <w:pPr>
        <w:pStyle w:val="2"/>
        <w:spacing w:before="231" w:line="360" w:lineRule="auto"/>
        <w:ind w:left="46" w:right="206" w:firstLine="40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掌握外汇与汇率、国际收支平衡表分析、购买力平价理论、汇率变动分析、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国际金融体系的汇率制度。</w:t>
      </w:r>
    </w:p>
    <w:p w14:paraId="5B4D7FDC">
      <w:pPr>
        <w:pStyle w:val="2"/>
        <w:spacing w:before="1" w:line="218" w:lineRule="auto"/>
        <w:ind w:left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了解汇率的影响因素、外汇市场与外汇市场干预、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资本管制。</w:t>
      </w:r>
    </w:p>
    <w:p w14:paraId="472EF164">
      <w:pPr>
        <w:pStyle w:val="2"/>
        <w:spacing w:before="242" w:line="220" w:lineRule="auto"/>
        <w:ind w:left="445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eastAsia="zh-CN"/>
        </w:rPr>
        <w:t>三、数字金融模块</w:t>
      </w:r>
    </w:p>
    <w:p w14:paraId="6EEF5454">
      <w:pPr>
        <w:pStyle w:val="2"/>
        <w:spacing w:before="291" w:line="220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数字金融概述</w:t>
      </w:r>
    </w:p>
    <w:p w14:paraId="6E8313E6">
      <w:pPr>
        <w:pStyle w:val="2"/>
        <w:spacing w:before="232" w:line="360" w:lineRule="auto"/>
        <w:ind w:left="25" w:right="200" w:firstLine="42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掌握数字金融的概念，包括数字金融的内涵与外延、数字金融的性质；数字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金融产生和发展的推动因素、数字金融对经济、社会的影响。</w:t>
      </w:r>
    </w:p>
    <w:p w14:paraId="359F4249">
      <w:pPr>
        <w:pStyle w:val="2"/>
        <w:spacing w:line="219" w:lineRule="auto"/>
        <w:ind w:left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了解数字金融的发展概况及其演变趋势。</w:t>
      </w:r>
    </w:p>
    <w:p w14:paraId="39BEBB5E">
      <w:pPr>
        <w:pStyle w:val="2"/>
        <w:spacing w:before="241" w:line="220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数字金融基础设施</w:t>
      </w:r>
    </w:p>
    <w:p w14:paraId="6526DE9C">
      <w:pPr>
        <w:pStyle w:val="2"/>
        <w:spacing w:before="233" w:line="219" w:lineRule="auto"/>
        <w:ind w:left="44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掌握数字金融基础设施的内涵与外延，主要的数字金融基础设施的种类。</w:t>
      </w:r>
    </w:p>
    <w:p w14:paraId="5C4EDD66">
      <w:pPr>
        <w:pStyle w:val="2"/>
        <w:spacing w:before="183" w:line="219" w:lineRule="auto"/>
        <w:jc w:val="right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了解我国数字金融基础设施的发展历程、全球数字金融基础设施的发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展趋势。</w:t>
      </w:r>
    </w:p>
    <w:p w14:paraId="442EAD87">
      <w:pPr>
        <w:pStyle w:val="2"/>
        <w:spacing w:before="183" w:line="219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产业数字金融</w:t>
      </w:r>
    </w:p>
    <w:p w14:paraId="4DC3F167">
      <w:pPr>
        <w:pStyle w:val="2"/>
        <w:spacing w:before="231" w:line="218" w:lineRule="auto"/>
        <w:ind w:left="44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掌握产业数字金融的内涵、产业数字金融生态系统和现实价值。</w:t>
      </w:r>
    </w:p>
    <w:p w14:paraId="7110E2B1">
      <w:pPr>
        <w:pStyle w:val="2"/>
        <w:spacing w:before="185" w:line="219" w:lineRule="auto"/>
        <w:ind w:left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了解主要发达国家和地区以及我国的产业数字金融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发展情况。</w:t>
      </w:r>
    </w:p>
    <w:p w14:paraId="2FD59E2E">
      <w:pPr>
        <w:pStyle w:val="2"/>
        <w:spacing w:before="241" w:line="220" w:lineRule="auto"/>
        <w:ind w:left="453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数字金融治理与监管</w:t>
      </w:r>
    </w:p>
    <w:p w14:paraId="31222A8C">
      <w:pPr>
        <w:pStyle w:val="2"/>
        <w:spacing w:before="232" w:line="219" w:lineRule="auto"/>
        <w:ind w:left="44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掌握数字金融治理的内涵与外延、数字金融治理的生态系统、数字金融监管。</w:t>
      </w:r>
    </w:p>
    <w:p w14:paraId="3C762A93">
      <w:pPr>
        <w:pStyle w:val="2"/>
        <w:spacing w:before="183" w:line="219" w:lineRule="auto"/>
        <w:ind w:left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了解主要发达国家和地区以及我国的数字金融治理发展历程和趋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势。</w:t>
      </w:r>
    </w:p>
    <w:p w14:paraId="1C4C2E55">
      <w:pPr>
        <w:pStyle w:val="4"/>
        <w:widowControl w:val="0"/>
        <w:kinsoku/>
        <w:autoSpaceDE/>
        <w:autoSpaceDN/>
        <w:adjustRightInd/>
        <w:snapToGrid/>
        <w:spacing w:line="240" w:lineRule="auto"/>
        <w:textAlignment w:val="auto"/>
        <w:rPr>
          <w:rFonts w:hint="eastAsia" w:ascii="宋体" w:hAnsi="宋体" w:eastAsia="宋体"/>
          <w:snapToGrid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/>
          <w:snapToGrid/>
          <w:color w:val="000000"/>
          <w:kern w:val="2"/>
          <w:sz w:val="28"/>
          <w:szCs w:val="28"/>
          <w:lang w:eastAsia="zh-CN"/>
        </w:rPr>
        <w:t>第三部分    题型示例</w:t>
      </w:r>
    </w:p>
    <w:p w14:paraId="319A400E">
      <w:pPr>
        <w:pStyle w:val="2"/>
        <w:spacing w:before="229" w:line="219" w:lineRule="auto"/>
        <w:ind w:left="508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学习时注重提高自己的专业能力，考试时展示自己的良好专业素养。</w:t>
      </w:r>
    </w:p>
    <w:p w14:paraId="05983660">
      <w:pPr>
        <w:pStyle w:val="2"/>
        <w:spacing w:before="184" w:line="219" w:lineRule="auto"/>
        <w:ind w:left="509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一、名词解释</w:t>
      </w:r>
    </w:p>
    <w:p w14:paraId="3B6AB9D2">
      <w:pPr>
        <w:pStyle w:val="2"/>
        <w:spacing w:before="183" w:line="219" w:lineRule="auto"/>
        <w:ind w:left="44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  <w:t>数字金融</w:t>
      </w:r>
    </w:p>
    <w:p w14:paraId="086788EE">
      <w:pPr>
        <w:pStyle w:val="2"/>
        <w:spacing w:before="183" w:line="219" w:lineRule="auto"/>
        <w:ind w:left="50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参考答案：</w:t>
      </w:r>
    </w:p>
    <w:p w14:paraId="06FCCB8F">
      <w:pPr>
        <w:pStyle w:val="2"/>
        <w:spacing w:before="183" w:line="360" w:lineRule="auto"/>
        <w:ind w:left="24" w:right="16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数字金融是指将互联网、区块链、大数据、人工智能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等数字技术应用到金融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行业而产生的新产品、新服务和新业态，以及银行、保险公司等金融机构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将数字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技术运用于流程改造和产品创新等，也包括金融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业支持或服务于数字经济。</w:t>
      </w:r>
    </w:p>
    <w:p w14:paraId="2B19F029">
      <w:pPr>
        <w:pStyle w:val="2"/>
        <w:spacing w:before="5" w:line="359" w:lineRule="auto"/>
        <w:ind w:left="23" w:right="13" w:firstLine="419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在金融实务领域，依托于通信网络、云计算、生物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识别、物联网等，出现了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大量将互联网、区块链、大数据、人工智能等数字技术应用到金融行业而提供新产品、新服务和新业态的公司，银行、保险公司等金融机构也将数字技术运用于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流程改造、产品创新等。</w:t>
      </w:r>
    </w:p>
    <w:p w14:paraId="1D1F2C1D">
      <w:pPr>
        <w:pStyle w:val="2"/>
        <w:spacing w:before="1" w:line="218" w:lineRule="auto"/>
        <w:ind w:left="509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eastAsia="zh-CN"/>
        </w:rPr>
        <w:t>二、简答题</w:t>
      </w:r>
    </w:p>
    <w:p w14:paraId="4FEC187F">
      <w:pPr>
        <w:pStyle w:val="2"/>
        <w:spacing w:before="183" w:line="219" w:lineRule="auto"/>
        <w:ind w:left="50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风险、投机和赌博，三者之间有什么区别与联系？</w:t>
      </w:r>
    </w:p>
    <w:p w14:paraId="2F749050">
      <w:pPr>
        <w:pStyle w:val="2"/>
        <w:spacing w:before="185" w:line="219" w:lineRule="auto"/>
        <w:ind w:left="50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参考答案：</w:t>
      </w:r>
    </w:p>
    <w:p w14:paraId="25D10E2D">
      <w:pPr>
        <w:pStyle w:val="2"/>
        <w:spacing w:before="183" w:line="212" w:lineRule="auto"/>
        <w:ind w:left="44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(1)三个术语的定义。</w:t>
      </w:r>
    </w:p>
    <w:p w14:paraId="6019A844">
      <w:pPr>
        <w:pStyle w:val="2"/>
        <w:spacing w:before="192" w:line="360" w:lineRule="auto"/>
        <w:ind w:left="22" w:right="13" w:firstLine="42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风险是指投资收益存在不确定性。投机是指承担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一定的风险并获取相应的报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酬。赌博是“为了一个不确定的结果下注”。</w:t>
      </w:r>
    </w:p>
    <w:p w14:paraId="53592353">
      <w:pPr>
        <w:pStyle w:val="2"/>
        <w:spacing w:line="212" w:lineRule="auto"/>
        <w:ind w:left="44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(2)三个术语的区别与联系。</w:t>
      </w:r>
    </w:p>
    <w:p w14:paraId="3CBE5DBC">
      <w:pPr>
        <w:pStyle w:val="2"/>
        <w:spacing w:before="193" w:line="362" w:lineRule="auto"/>
        <w:ind w:left="11" w:right="13" w:firstLine="43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投机和赌博都会承担一定的风险。但投机和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赌博的主要差别在于赌博并没有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“相应的报酬</w:t>
      </w:r>
      <w:r>
        <w:rPr>
          <w:rFonts w:hint="eastAsia" w:ascii="宋体" w:hAnsi="宋体" w:eastAsia="宋体" w:cs="宋体"/>
          <w:spacing w:val="-7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”。从经济学上讲，赌博是为了享受冒险的乐趣而承担风险，而投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机则是指为了风险溢价而承担风险。把赌博变成投机需要有足够的风险溢价来不畅风险厌恶投资者。</w:t>
      </w:r>
    </w:p>
    <w:p w14:paraId="6E1ED1D5">
      <w:pPr>
        <w:pStyle w:val="2"/>
        <w:spacing w:line="219" w:lineRule="auto"/>
        <w:ind w:left="503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三、计算题</w:t>
      </w:r>
    </w:p>
    <w:p w14:paraId="2F64BEBB">
      <w:pPr>
        <w:pStyle w:val="2"/>
        <w:spacing w:before="185" w:line="367" w:lineRule="auto"/>
        <w:ind w:left="22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假如你有一些现金，你打算进行投资，目前有两类项目：项目一是股票，A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eastAsia="zh-CN"/>
        </w:rPr>
        <w:t>股票的期望收益率为</w:t>
      </w:r>
      <w:r>
        <w:rPr>
          <w:rFonts w:hint="eastAsia" w:ascii="宋体" w:hAnsi="宋体" w:eastAsia="宋体" w:cs="宋体"/>
          <w:spacing w:val="-4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eastAsia="zh-CN"/>
        </w:rPr>
        <w:t>12%，风险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</w:rPr>
        <w:t>β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eastAsia="zh-CN"/>
        </w:rPr>
        <w:t>=1，而</w:t>
      </w:r>
      <w:r>
        <w:rPr>
          <w:rFonts w:hint="eastAsia" w:ascii="宋体" w:hAnsi="宋体" w:eastAsia="宋体" w:cs="宋体"/>
          <w:spacing w:val="-5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eastAsia="zh-CN"/>
        </w:rPr>
        <w:t>B 股票的期望收益率</w:t>
      </w: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pacing w:val="-4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13%</w:t>
      </w:r>
      <w:r>
        <w:rPr>
          <w:rFonts w:hint="eastAsia" w:ascii="宋体" w:hAnsi="宋体" w:eastAsia="宋体" w:cs="宋体"/>
          <w:b/>
          <w:bCs/>
          <w:spacing w:val="-3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pacing w:val="-8"/>
          <w:sz w:val="24"/>
          <w:szCs w:val="24"/>
        </w:rPr>
        <w:t>β</w:t>
      </w: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=1.5。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市场的期望收益率为</w:t>
      </w:r>
      <w:r>
        <w:rPr>
          <w:rFonts w:hint="eastAsia" w:ascii="宋体" w:hAnsi="宋体" w:eastAsia="宋体" w:cs="宋体"/>
          <w:spacing w:val="-3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11%</w:t>
      </w:r>
      <w:r>
        <w:rPr>
          <w:rFonts w:hint="eastAsia" w:ascii="宋体" w:hAnsi="宋体" w:eastAsia="宋体" w:cs="宋体"/>
          <w:b/>
          <w:bCs/>
          <w:spacing w:val="-26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pacing w:val="-3"/>
          <w:position w:val="-1"/>
          <w:sz w:val="24"/>
          <w:szCs w:val="24"/>
          <w:lang w:eastAsia="zh-CN"/>
        </w:rPr>
        <w:t>rf</w:t>
      </w:r>
      <w:r>
        <w:rPr>
          <w:rFonts w:hint="eastAsia" w:ascii="宋体" w:hAnsi="宋体" w:eastAsia="宋体" w:cs="宋体"/>
          <w:b/>
          <w:bCs/>
          <w:spacing w:val="25"/>
          <w:position w:val="-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=5%</w:t>
      </w:r>
      <w:r>
        <w:rPr>
          <w:rFonts w:hint="eastAsia" w:ascii="宋体" w:hAnsi="宋体" w:eastAsia="宋体" w:cs="宋体"/>
          <w:b/>
          <w:bCs/>
          <w:spacing w:val="-25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。项目二的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β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=1.3</w:t>
      </w:r>
      <w:r>
        <w:rPr>
          <w:rFonts w:hint="eastAsia" w:ascii="宋体" w:hAnsi="宋体" w:eastAsia="宋体" w:cs="宋体"/>
          <w:b/>
          <w:bCs/>
          <w:spacing w:val="-2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，无风险利率为</w:t>
      </w:r>
      <w:r>
        <w:rPr>
          <w:rFonts w:hint="eastAsia" w:ascii="宋体" w:hAnsi="宋体" w:eastAsia="宋体" w:cs="宋体"/>
          <w:spacing w:val="-4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8%</w:t>
      </w:r>
      <w:r>
        <w:rPr>
          <w:rFonts w:hint="eastAsia" w:ascii="宋体" w:hAnsi="宋体" w:eastAsia="宋体" w:cs="宋体"/>
          <w:b/>
          <w:bCs/>
          <w:spacing w:val="-2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，市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场投资组合的期望收益率为</w:t>
      </w:r>
      <w:r>
        <w:rPr>
          <w:rFonts w:hint="eastAsia" w:ascii="宋体" w:hAnsi="宋体" w:eastAsia="宋体" w:cs="宋体"/>
          <w:spacing w:val="-25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16%</w:t>
      </w:r>
      <w:r>
        <w:rPr>
          <w:rFonts w:hint="eastAsia" w:ascii="宋体" w:hAnsi="宋体" w:eastAsia="宋体" w:cs="宋体"/>
          <w:b/>
          <w:bCs/>
          <w:spacing w:val="-2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基于以上信息，请回答以下问题：</w:t>
      </w:r>
    </w:p>
    <w:p w14:paraId="46F5EA91">
      <w:pPr>
        <w:pStyle w:val="2"/>
        <w:spacing w:before="49" w:line="212" w:lineRule="auto"/>
        <w:ind w:left="5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eastAsia="zh-CN"/>
        </w:rPr>
        <w:t>(1)根据资本资产定价模型，项目一中哪只股票值得投资？</w:t>
      </w:r>
    </w:p>
    <w:p w14:paraId="6334A653">
      <w:pPr>
        <w:pStyle w:val="2"/>
        <w:spacing w:before="191" w:line="290" w:lineRule="auto"/>
        <w:ind w:left="21" w:right="80" w:firstLine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(2)每只股票的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α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各是多少？</w:t>
      </w:r>
      <w:bookmarkStart w:id="0" w:name="OLE_LINK1"/>
    </w:p>
    <w:bookmarkEnd w:id="0"/>
    <w:p w14:paraId="75DD9C56">
      <w:pPr>
        <w:pStyle w:val="2"/>
        <w:spacing w:before="183" w:line="212" w:lineRule="auto"/>
        <w:ind w:left="5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(3)项目二的必要收益率是多少？</w:t>
      </w:r>
    </w:p>
    <w:p w14:paraId="51C37572">
      <w:pPr>
        <w:pStyle w:val="2"/>
        <w:spacing w:before="145" w:line="332" w:lineRule="exact"/>
        <w:ind w:left="5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position w:val="3"/>
          <w:sz w:val="24"/>
          <w:szCs w:val="24"/>
          <w:lang w:eastAsia="zh-CN"/>
        </w:rPr>
        <w:t>(4)如果项目二的</w:t>
      </w:r>
      <w:r>
        <w:rPr>
          <w:rFonts w:hint="eastAsia" w:ascii="宋体" w:hAnsi="宋体" w:eastAsia="宋体" w:cs="宋体"/>
          <w:spacing w:val="-47"/>
          <w:position w:val="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position w:val="3"/>
          <w:sz w:val="24"/>
          <w:szCs w:val="24"/>
          <w:lang w:eastAsia="zh-CN"/>
        </w:rPr>
        <w:t>IRR=19%</w:t>
      </w:r>
      <w:r>
        <w:rPr>
          <w:rFonts w:hint="eastAsia" w:ascii="宋体" w:hAnsi="宋体" w:eastAsia="宋体" w:cs="宋体"/>
          <w:b/>
          <w:bCs/>
          <w:spacing w:val="-31"/>
          <w:position w:val="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position w:val="3"/>
          <w:sz w:val="24"/>
          <w:szCs w:val="24"/>
          <w:lang w:eastAsia="zh-CN"/>
        </w:rPr>
        <w:t>，是否应该投资该项目？</w:t>
      </w:r>
    </w:p>
    <w:p w14:paraId="527D66F6">
      <w:pPr>
        <w:pStyle w:val="2"/>
        <w:spacing w:before="183" w:line="219" w:lineRule="auto"/>
        <w:ind w:left="50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参考答案：</w:t>
      </w:r>
    </w:p>
    <w:p w14:paraId="2FE3CF53">
      <w:pPr>
        <w:pStyle w:val="2"/>
        <w:spacing w:before="183" w:line="212" w:lineRule="auto"/>
        <w:ind w:left="5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(1)根据资本资产定价模型:</w:t>
      </w:r>
    </w:p>
    <w:p w14:paraId="51956277">
      <w:pPr>
        <w:pStyle w:val="2"/>
        <w:spacing w:before="256" w:line="322" w:lineRule="exact"/>
        <w:ind w:left="50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每只股票的预期收益率为：</w:t>
      </w:r>
      <w:r>
        <w:rPr>
          <w:rFonts w:hint="eastAsia" w:ascii="宋体" w:hAnsi="宋体" w:eastAsia="宋体" w:cs="宋体"/>
          <w:sz w:val="24"/>
          <w:szCs w:val="24"/>
        </w:rPr>
        <w:t>r</w:t>
      </w:r>
      <w:r>
        <w:rPr>
          <w:rFonts w:hint="eastAsia" w:ascii="宋体" w:hAnsi="宋体" w:eastAsia="宋体" w:cs="宋体"/>
          <w:position w:val="-4"/>
          <w:sz w:val="24"/>
          <w:szCs w:val="24"/>
        </w:rPr>
        <w:t>f</w:t>
      </w:r>
      <w:r>
        <w:rPr>
          <w:rFonts w:hint="eastAsia" w:ascii="宋体" w:hAnsi="宋体" w:eastAsia="宋体" w:cs="宋体"/>
          <w:spacing w:val="7"/>
          <w:position w:val="-4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+ β</w:t>
      </w:r>
      <w:r>
        <w:rPr>
          <w:rFonts w:hint="eastAsia"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40640" cy="184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8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E</w:t>
      </w:r>
      <w:r>
        <w:rPr>
          <w:rFonts w:hint="eastAsia"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2"/>
          <w:sz w:val="24"/>
          <w:szCs w:val="24"/>
        </w:rPr>
        <w:drawing>
          <wp:inline distT="0" distB="0" distL="0" distR="0">
            <wp:extent cx="55880" cy="1409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36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r</w:t>
      </w:r>
      <w:r>
        <w:rPr>
          <w:rFonts w:hint="eastAsia" w:ascii="宋体" w:hAnsi="宋体" w:eastAsia="宋体" w:cs="宋体"/>
          <w:position w:val="-4"/>
          <w:sz w:val="24"/>
          <w:szCs w:val="24"/>
        </w:rPr>
        <w:t>M</w:t>
      </w:r>
      <w:r>
        <w:rPr>
          <w:rFonts w:hint="eastAsia" w:ascii="宋体" w:hAnsi="宋体" w:eastAsia="宋体" w:cs="宋体"/>
          <w:spacing w:val="7"/>
          <w:position w:val="1"/>
          <w:sz w:val="24"/>
          <w:szCs w:val="24"/>
        </w:rPr>
        <w:t>)</w:t>
      </w:r>
      <w:r>
        <w:rPr>
          <w:rFonts w:hint="eastAsia" w:ascii="宋体" w:hAnsi="宋体" w:eastAsia="宋体" w:cs="宋体"/>
          <w:spacing w:val="26"/>
          <w:w w:val="101"/>
          <w:position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− </w:t>
      </w:r>
      <w:r>
        <w:rPr>
          <w:rFonts w:hint="eastAsia" w:ascii="宋体" w:hAnsi="宋体" w:eastAsia="宋体" w:cs="宋体"/>
          <w:sz w:val="24"/>
          <w:szCs w:val="24"/>
        </w:rPr>
        <w:t>r</w:t>
      </w:r>
      <w:r>
        <w:rPr>
          <w:rFonts w:hint="eastAsia" w:ascii="宋体" w:hAnsi="宋体" w:eastAsia="宋体" w:cs="宋体"/>
          <w:position w:val="-4"/>
          <w:sz w:val="24"/>
          <w:szCs w:val="24"/>
        </w:rPr>
        <w:t>f</w:t>
      </w:r>
      <w:r>
        <w:rPr>
          <w:rFonts w:hint="eastAsia" w:ascii="宋体" w:hAnsi="宋体" w:eastAsia="宋体" w:cs="宋体"/>
          <w:spacing w:val="7"/>
          <w:sz w:val="24"/>
          <w:szCs w:val="24"/>
        </w:rPr>
        <w:t>]</w:t>
      </w:r>
    </w:p>
    <w:p w14:paraId="6AEF5BB9">
      <w:pPr>
        <w:pStyle w:val="2"/>
        <w:spacing w:before="195" w:line="323" w:lineRule="exact"/>
        <w:ind w:left="50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position w:val="1"/>
          <w:sz w:val="24"/>
          <w:szCs w:val="24"/>
        </w:rPr>
        <w:t>股票</w:t>
      </w:r>
      <w:r>
        <w:rPr>
          <w:rFonts w:hint="eastAsia" w:ascii="宋体" w:hAnsi="宋体" w:eastAsia="宋体" w:cs="宋体"/>
          <w:spacing w:val="-58"/>
          <w:position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position w:val="1"/>
          <w:sz w:val="24"/>
          <w:szCs w:val="24"/>
        </w:rPr>
        <w:t>A</w:t>
      </w:r>
      <w:r>
        <w:rPr>
          <w:rFonts w:hint="eastAsia" w:ascii="宋体" w:hAnsi="宋体" w:eastAsia="宋体" w:cs="宋体"/>
          <w:spacing w:val="29"/>
          <w:position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position w:val="1"/>
          <w:sz w:val="24"/>
          <w:szCs w:val="24"/>
        </w:rPr>
        <w:t>的预期收益率：5%+1*（11%-5%）=</w:t>
      </w:r>
      <w:r>
        <w:rPr>
          <w:rFonts w:hint="eastAsia" w:ascii="宋体" w:hAnsi="宋体" w:eastAsia="宋体" w:cs="宋体"/>
          <w:spacing w:val="-33"/>
          <w:position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position w:val="1"/>
          <w:sz w:val="24"/>
          <w:szCs w:val="24"/>
        </w:rPr>
        <w:t>11%</w:t>
      </w:r>
    </w:p>
    <w:p w14:paraId="7B9EC901">
      <w:pPr>
        <w:pStyle w:val="2"/>
        <w:spacing w:before="145" w:line="323" w:lineRule="exact"/>
        <w:ind w:left="50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股票</w:t>
      </w:r>
      <w:r>
        <w:rPr>
          <w:rFonts w:hint="eastAsia" w:ascii="宋体" w:hAnsi="宋体" w:eastAsia="宋体" w:cs="宋体"/>
          <w:spacing w:val="-51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B</w:t>
      </w:r>
      <w:r>
        <w:rPr>
          <w:rFonts w:hint="eastAsia" w:ascii="宋体" w:hAnsi="宋体" w:eastAsia="宋体" w:cs="宋体"/>
          <w:spacing w:val="30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的预期收益率为：5%+1.5*(11%-5%)=14%</w:t>
      </w:r>
    </w:p>
    <w:p w14:paraId="159234DC">
      <w:pPr>
        <w:pStyle w:val="2"/>
        <w:spacing w:before="189" w:line="360" w:lineRule="auto"/>
        <w:ind w:left="25" w:right="16" w:firstLine="47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尽管股票</w:t>
      </w:r>
      <w:r>
        <w:rPr>
          <w:rFonts w:hint="eastAsia"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B</w:t>
      </w:r>
      <w:r>
        <w:rPr>
          <w:rFonts w:hint="eastAsia" w:ascii="宋体" w:hAnsi="宋体" w:eastAsia="宋体" w:cs="宋体"/>
          <w:spacing w:val="3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的预期收益率比股票</w:t>
      </w:r>
      <w:r>
        <w:rPr>
          <w:rFonts w:hint="eastAsia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A 要高，但是考虑了市场期望收益率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之后，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我们发现股票</w:t>
      </w:r>
      <w:r>
        <w:rPr>
          <w:rFonts w:hint="eastAsia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A</w:t>
      </w:r>
      <w:r>
        <w:rPr>
          <w:rFonts w:hint="eastAsia" w:ascii="宋体" w:hAnsi="宋体" w:eastAsia="宋体" w:cs="宋体"/>
          <w:spacing w:val="28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的期望收益率</w:t>
      </w:r>
      <w:r>
        <w:rPr>
          <w:rFonts w:hint="eastAsia"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12%高于</w:t>
      </w:r>
      <w:r>
        <w:rPr>
          <w:rFonts w:hint="eastAsia"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11%</w:t>
      </w:r>
      <w:r>
        <w:rPr>
          <w:rFonts w:hint="eastAsia"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，而股票</w:t>
      </w:r>
      <w:r>
        <w:rPr>
          <w:rFonts w:hint="eastAsia"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B</w:t>
      </w:r>
      <w:r>
        <w:rPr>
          <w:rFonts w:hint="eastAsia" w:ascii="宋体" w:hAnsi="宋体" w:eastAsia="宋体" w:cs="宋体"/>
          <w:spacing w:val="3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的期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望收益率</w:t>
      </w:r>
      <w:r>
        <w:rPr>
          <w:rFonts w:hint="eastAsia"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13%低于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预期收益率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14%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。因此股票</w:t>
      </w:r>
      <w:r>
        <w:rPr>
          <w:rFonts w:hint="eastAsia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A</w:t>
      </w:r>
      <w:r>
        <w:rPr>
          <w:rFonts w:hint="eastAsia" w:ascii="宋体" w:hAnsi="宋体" w:eastAsia="宋体" w:cs="宋体"/>
          <w:spacing w:val="28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α大于零，其价值被低估，应该投资股票A。</w:t>
      </w:r>
    </w:p>
    <w:p w14:paraId="25029B63">
      <w:pPr>
        <w:pStyle w:val="2"/>
        <w:spacing w:line="212" w:lineRule="auto"/>
        <w:ind w:left="5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(2)股票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α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值是超过资本资产定价模型所要求的收益差额</w:t>
      </w:r>
    </w:p>
    <w:p w14:paraId="700FF908">
      <w:pPr>
        <w:pStyle w:val="2"/>
        <w:spacing w:before="221" w:line="332" w:lineRule="exact"/>
        <w:ind w:left="5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position w:val="2"/>
          <w:sz w:val="24"/>
          <w:szCs w:val="24"/>
        </w:rPr>
        <w:t>α=E</w:t>
      </w:r>
      <w:r>
        <w:rPr>
          <w:rFonts w:hint="eastAsia" w:ascii="宋体" w:hAnsi="宋体" w:eastAsia="宋体" w:cs="宋体"/>
          <w:spacing w:val="10"/>
          <w:position w:val="3"/>
          <w:sz w:val="24"/>
          <w:szCs w:val="24"/>
        </w:rPr>
        <w:t>(</w:t>
      </w:r>
      <w:r>
        <w:rPr>
          <w:rFonts w:hint="eastAsia" w:ascii="宋体" w:hAnsi="宋体" w:eastAsia="宋体" w:cs="宋体"/>
          <w:spacing w:val="10"/>
          <w:position w:val="2"/>
          <w:sz w:val="24"/>
          <w:szCs w:val="24"/>
        </w:rPr>
        <w:t>r</w:t>
      </w:r>
      <w:r>
        <w:rPr>
          <w:rFonts w:hint="eastAsia" w:ascii="宋体" w:hAnsi="宋体" w:eastAsia="宋体" w:cs="宋体"/>
          <w:spacing w:val="10"/>
          <w:position w:val="3"/>
          <w:sz w:val="24"/>
          <w:szCs w:val="24"/>
        </w:rPr>
        <w:t>)</w:t>
      </w:r>
      <w:r>
        <w:rPr>
          <w:rFonts w:hint="eastAsia" w:ascii="宋体" w:hAnsi="宋体" w:eastAsia="宋体" w:cs="宋体"/>
          <w:spacing w:val="29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0"/>
          <w:position w:val="2"/>
          <w:sz w:val="24"/>
          <w:szCs w:val="24"/>
        </w:rPr>
        <w:t xml:space="preserve">− </w:t>
      </w:r>
      <w:r>
        <w:rPr>
          <w:rFonts w:hint="eastAsia" w:ascii="宋体" w:hAnsi="宋体" w:eastAsia="宋体" w:cs="宋体"/>
          <w:spacing w:val="10"/>
          <w:position w:val="1"/>
          <w:sz w:val="24"/>
          <w:szCs w:val="24"/>
        </w:rPr>
        <w:t>{</w:t>
      </w:r>
      <w:r>
        <w:rPr>
          <w:rFonts w:hint="eastAsia" w:ascii="宋体" w:hAnsi="宋体" w:eastAsia="宋体" w:cs="宋体"/>
          <w:position w:val="2"/>
          <w:sz w:val="24"/>
          <w:szCs w:val="24"/>
        </w:rPr>
        <w:t>r</w:t>
      </w:r>
      <w:r>
        <w:rPr>
          <w:rFonts w:hint="eastAsia" w:ascii="宋体" w:hAnsi="宋体" w:eastAsia="宋体" w:cs="宋体"/>
          <w:position w:val="-1"/>
          <w:sz w:val="24"/>
          <w:szCs w:val="24"/>
        </w:rPr>
        <w:t>f</w:t>
      </w:r>
      <w:r>
        <w:rPr>
          <w:rFonts w:hint="eastAsia" w:ascii="宋体" w:hAnsi="宋体" w:eastAsia="宋体" w:cs="宋体"/>
          <w:spacing w:val="10"/>
          <w:position w:val="-1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10"/>
          <w:position w:val="2"/>
          <w:sz w:val="24"/>
          <w:szCs w:val="24"/>
        </w:rPr>
        <w:t>+ β</w:t>
      </w:r>
      <w:r>
        <w:rPr>
          <w:rFonts w:hint="eastAsia"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41275" cy="1841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76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2"/>
          <w:sz w:val="24"/>
          <w:szCs w:val="24"/>
        </w:rPr>
        <w:t>E</w:t>
      </w:r>
      <w:r>
        <w:rPr>
          <w:rFonts w:hint="eastAsia" w:ascii="宋体" w:hAnsi="宋体" w:eastAsia="宋体" w:cs="宋体"/>
          <w:spacing w:val="-33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1"/>
          <w:sz w:val="24"/>
          <w:szCs w:val="24"/>
        </w:rPr>
        <w:drawing>
          <wp:inline distT="0" distB="0" distL="0" distR="0">
            <wp:extent cx="56515" cy="1403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2"/>
          <w:sz w:val="24"/>
          <w:szCs w:val="24"/>
        </w:rPr>
        <w:t>r</w:t>
      </w:r>
      <w:r>
        <w:rPr>
          <w:rFonts w:hint="eastAsia" w:ascii="宋体" w:hAnsi="宋体" w:eastAsia="宋体" w:cs="宋体"/>
          <w:position w:val="-1"/>
          <w:sz w:val="24"/>
          <w:szCs w:val="24"/>
        </w:rPr>
        <w:t>M</w:t>
      </w:r>
      <w:r>
        <w:rPr>
          <w:rFonts w:hint="eastAsia" w:ascii="宋体" w:hAnsi="宋体" w:eastAsia="宋体" w:cs="宋体"/>
          <w:position w:val="-1"/>
          <w:sz w:val="24"/>
          <w:szCs w:val="24"/>
        </w:rPr>
        <w:drawing>
          <wp:inline distT="0" distB="0" distL="0" distR="0">
            <wp:extent cx="56515" cy="1403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27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11"/>
          <w:w w:val="102"/>
          <w:position w:val="-1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10"/>
          <w:position w:val="2"/>
          <w:sz w:val="24"/>
          <w:szCs w:val="24"/>
        </w:rPr>
        <w:t xml:space="preserve">− </w:t>
      </w:r>
      <w:r>
        <w:rPr>
          <w:rFonts w:hint="eastAsia" w:ascii="宋体" w:hAnsi="宋体" w:eastAsia="宋体" w:cs="宋体"/>
          <w:position w:val="2"/>
          <w:sz w:val="24"/>
          <w:szCs w:val="24"/>
        </w:rPr>
        <w:t>r</w:t>
      </w:r>
      <w:r>
        <w:rPr>
          <w:rFonts w:hint="eastAsia" w:ascii="宋体" w:hAnsi="宋体" w:eastAsia="宋体" w:cs="宋体"/>
          <w:position w:val="-1"/>
          <w:sz w:val="24"/>
          <w:szCs w:val="24"/>
        </w:rPr>
        <w:t>f</w:t>
      </w:r>
      <w:r>
        <w:rPr>
          <w:rFonts w:hint="eastAsia"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41275" cy="1841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92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10"/>
          <w:position w:val="1"/>
          <w:sz w:val="24"/>
          <w:szCs w:val="24"/>
        </w:rPr>
        <w:t>}</w:t>
      </w:r>
    </w:p>
    <w:p w14:paraId="2FD1A078">
      <w:pPr>
        <w:pStyle w:val="2"/>
        <w:spacing w:before="220" w:line="323" w:lineRule="exact"/>
        <w:ind w:left="50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股票</w:t>
      </w:r>
      <w:r>
        <w:rPr>
          <w:rFonts w:hint="eastAsia" w:ascii="宋体" w:hAnsi="宋体" w:eastAsia="宋体" w:cs="宋体"/>
          <w:spacing w:val="-54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A</w:t>
      </w:r>
      <w:r>
        <w:rPr>
          <w:rFonts w:hint="eastAsia" w:ascii="宋体" w:hAnsi="宋体" w:eastAsia="宋体" w:cs="宋体"/>
          <w:spacing w:val="28"/>
          <w:w w:val="101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的α=12%-[5%+1*(11%-5%)]=1%</w:t>
      </w:r>
    </w:p>
    <w:p w14:paraId="15D975B4">
      <w:pPr>
        <w:pStyle w:val="2"/>
        <w:spacing w:before="145" w:line="323" w:lineRule="exact"/>
        <w:ind w:left="503"/>
        <w:rPr>
          <w:rFonts w:hint="eastAsia" w:ascii="宋体" w:hAnsi="宋体" w:eastAsia="宋体" w:cs="宋体"/>
          <w:spacing w:val="-2"/>
          <w:positio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股票</w:t>
      </w:r>
      <w:r>
        <w:rPr>
          <w:rFonts w:hint="eastAsia" w:ascii="宋体" w:hAnsi="宋体" w:eastAsia="宋体" w:cs="宋体"/>
          <w:spacing w:val="-49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B</w:t>
      </w:r>
      <w:r>
        <w:rPr>
          <w:rFonts w:hint="eastAsia" w:ascii="宋体" w:hAnsi="宋体" w:eastAsia="宋体" w:cs="宋体"/>
          <w:spacing w:val="30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24"/>
          <w:szCs w:val="24"/>
        </w:rPr>
        <w:t>的α=13%-[5%+1.5*(11%-5%)]=-1%</w:t>
      </w:r>
    </w:p>
    <w:p w14:paraId="726EFE24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AC21E9F">
      <w:pPr>
        <w:pStyle w:val="2"/>
        <w:spacing w:before="79" w:line="212" w:lineRule="auto"/>
        <w:ind w:left="5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(3)根据资本资产定价模型，项目二可接受的期望收益率为：</w:t>
      </w:r>
    </w:p>
    <w:p w14:paraId="241D8118">
      <w:pPr>
        <w:spacing w:before="256" w:line="235" w:lineRule="auto"/>
        <w:ind w:left="13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r</w:t>
      </w:r>
      <w:r>
        <w:rPr>
          <w:rFonts w:hint="eastAsia" w:ascii="宋体" w:hAnsi="宋体" w:eastAsia="宋体" w:cs="宋体"/>
          <w:position w:val="-4"/>
          <w:sz w:val="24"/>
          <w:szCs w:val="24"/>
          <w:lang w:eastAsia="zh-CN"/>
        </w:rPr>
        <w:t>f</w:t>
      </w:r>
      <w:r>
        <w:rPr>
          <w:rFonts w:hint="eastAsia" w:ascii="宋体" w:hAnsi="宋体" w:eastAsia="宋体" w:cs="宋体"/>
          <w:spacing w:val="7"/>
          <w:position w:val="-4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 xml:space="preserve">+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β</w:t>
      </w:r>
      <w:r>
        <w:rPr>
          <w:rFonts w:hint="eastAsia" w:ascii="宋体" w:hAnsi="宋体" w:eastAsia="宋体" w:cs="宋体"/>
          <w:position w:val="-4"/>
          <w:sz w:val="24"/>
          <w:szCs w:val="24"/>
        </w:rPr>
        <w:drawing>
          <wp:inline distT="0" distB="0" distL="0" distR="0">
            <wp:extent cx="41275" cy="1841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34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</w:t>
      </w:r>
      <w:r>
        <w:rPr>
          <w:rFonts w:hint="eastAsia" w:ascii="宋体" w:hAnsi="宋体" w:eastAsia="宋体" w:cs="宋体"/>
          <w:spacing w:val="-3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position w:val="-1"/>
          <w:sz w:val="24"/>
          <w:szCs w:val="24"/>
        </w:rPr>
        <w:drawing>
          <wp:inline distT="0" distB="0" distL="0" distR="0">
            <wp:extent cx="57150" cy="14033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04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r</w:t>
      </w:r>
      <w:r>
        <w:rPr>
          <w:rFonts w:hint="eastAsia" w:ascii="宋体" w:hAnsi="宋体" w:eastAsia="宋体" w:cs="宋体"/>
          <w:position w:val="-4"/>
          <w:sz w:val="24"/>
          <w:szCs w:val="24"/>
          <w:lang w:eastAsia="zh-CN"/>
        </w:rPr>
        <w:t>M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)</w:t>
      </w:r>
      <w:r>
        <w:rPr>
          <w:rFonts w:hint="eastAsia" w:ascii="宋体" w:hAnsi="宋体" w:eastAsia="宋体" w:cs="宋体"/>
          <w:spacing w:val="26"/>
          <w:w w:val="10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 xml:space="preserve">-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r</w:t>
      </w:r>
      <w:r>
        <w:rPr>
          <w:rFonts w:hint="eastAsia" w:ascii="宋体" w:hAnsi="宋体" w:eastAsia="宋体" w:cs="宋体"/>
          <w:position w:val="-4"/>
          <w:sz w:val="24"/>
          <w:szCs w:val="24"/>
          <w:lang w:eastAsia="zh-CN"/>
        </w:rPr>
        <w:t>f</w:t>
      </w:r>
      <w:r>
        <w:rPr>
          <w:rFonts w:hint="eastAsia" w:ascii="宋体" w:hAnsi="宋体" w:eastAsia="宋体" w:cs="宋体"/>
          <w:position w:val="-4"/>
          <w:sz w:val="24"/>
          <w:szCs w:val="24"/>
        </w:rPr>
        <w:drawing>
          <wp:inline distT="0" distB="0" distL="0" distR="0">
            <wp:extent cx="41275" cy="18415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3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1"/>
          <w:position w:val="-4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=</w:t>
      </w:r>
      <w:r>
        <w:rPr>
          <w:rFonts w:hint="eastAsia" w:ascii="宋体" w:hAnsi="宋体" w:eastAsia="宋体" w:cs="宋体"/>
          <w:spacing w:val="2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8%</w:t>
      </w:r>
      <w:r>
        <w:rPr>
          <w:rFonts w:hint="eastAsia" w:ascii="宋体" w:hAnsi="宋体" w:eastAsia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+</w:t>
      </w:r>
      <w:r>
        <w:rPr>
          <w:rFonts w:hint="eastAsia" w:ascii="宋体" w:hAnsi="宋体" w:eastAsia="宋体" w:cs="宋体"/>
          <w:spacing w:val="21"/>
          <w:w w:val="10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1.3</w:t>
      </w:r>
      <w:r>
        <w:rPr>
          <w:rFonts w:hint="eastAsia" w:ascii="宋体" w:hAnsi="宋体" w:eastAsia="宋体" w:cs="宋体"/>
          <w:spacing w:val="19"/>
          <w:w w:val="10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*</w:t>
      </w:r>
      <w:r>
        <w:rPr>
          <w:rFonts w:hint="eastAsia" w:ascii="宋体" w:hAnsi="宋体" w:eastAsia="宋体" w:cs="宋体"/>
          <w:spacing w:val="2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(16%</w:t>
      </w:r>
      <w:r>
        <w:rPr>
          <w:rFonts w:hint="eastAsia" w:ascii="宋体" w:hAnsi="宋体" w:eastAsia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- 8%)</w:t>
      </w:r>
      <w:r>
        <w:rPr>
          <w:rFonts w:hint="eastAsia" w:ascii="宋体" w:hAnsi="宋体" w:eastAsia="宋体" w:cs="宋体"/>
          <w:spacing w:val="2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=</w:t>
      </w:r>
      <w:r>
        <w:rPr>
          <w:rFonts w:hint="eastAsia" w:ascii="宋体" w:hAnsi="宋体" w:eastAsia="宋体" w:cs="宋体"/>
          <w:spacing w:val="36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18.4%</w:t>
      </w:r>
    </w:p>
    <w:p w14:paraId="1AEE4C90">
      <w:pPr>
        <w:pStyle w:val="2"/>
        <w:spacing w:before="197" w:line="323" w:lineRule="exact"/>
        <w:ind w:left="5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position w:val="2"/>
          <w:sz w:val="24"/>
          <w:szCs w:val="24"/>
          <w:lang w:eastAsia="zh-CN"/>
        </w:rPr>
        <w:t>(4)如果项目二的</w:t>
      </w:r>
      <w:r>
        <w:rPr>
          <w:rFonts w:hint="eastAsia" w:ascii="宋体" w:hAnsi="宋体" w:eastAsia="宋体" w:cs="宋体"/>
          <w:spacing w:val="-37"/>
          <w:positio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position w:val="2"/>
          <w:sz w:val="24"/>
          <w:szCs w:val="24"/>
          <w:lang w:eastAsia="zh-CN"/>
        </w:rPr>
        <w:t>IRR=</w:t>
      </w:r>
      <w:r>
        <w:rPr>
          <w:rFonts w:hint="eastAsia" w:ascii="宋体" w:hAnsi="宋体" w:eastAsia="宋体" w:cs="宋体"/>
          <w:spacing w:val="-30"/>
          <w:positio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position w:val="2"/>
          <w:sz w:val="24"/>
          <w:szCs w:val="24"/>
          <w:lang w:eastAsia="zh-CN"/>
        </w:rPr>
        <w:t>19%</w:t>
      </w:r>
      <w:r>
        <w:rPr>
          <w:rFonts w:hint="eastAsia" w:ascii="宋体" w:hAnsi="宋体" w:eastAsia="宋体" w:cs="宋体"/>
          <w:spacing w:val="-29"/>
          <w:positio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position w:val="2"/>
          <w:sz w:val="24"/>
          <w:szCs w:val="24"/>
          <w:lang w:eastAsia="zh-CN"/>
        </w:rPr>
        <w:t>，大于期望收益率</w:t>
      </w:r>
      <w:r>
        <w:rPr>
          <w:rFonts w:hint="eastAsia" w:ascii="宋体" w:hAnsi="宋体" w:eastAsia="宋体" w:cs="宋体"/>
          <w:spacing w:val="-32"/>
          <w:positio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position w:val="2"/>
          <w:sz w:val="24"/>
          <w:szCs w:val="24"/>
          <w:lang w:eastAsia="zh-CN"/>
        </w:rPr>
        <w:t>18.4%</w:t>
      </w:r>
      <w:r>
        <w:rPr>
          <w:rFonts w:hint="eastAsia" w:ascii="宋体" w:hAnsi="宋体" w:eastAsia="宋体" w:cs="宋体"/>
          <w:spacing w:val="-32"/>
          <w:positio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position w:val="2"/>
          <w:sz w:val="24"/>
          <w:szCs w:val="24"/>
          <w:lang w:eastAsia="zh-CN"/>
        </w:rPr>
        <w:t>，可以投资该项目。</w:t>
      </w:r>
    </w:p>
    <w:p w14:paraId="42FBF7CB">
      <w:pPr>
        <w:pStyle w:val="2"/>
        <w:spacing w:before="189" w:line="221" w:lineRule="auto"/>
        <w:ind w:left="528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四、论述题</w:t>
      </w:r>
    </w:p>
    <w:p w14:paraId="575E0B86">
      <w:pPr>
        <w:pStyle w:val="2"/>
        <w:spacing w:before="180" w:line="360" w:lineRule="auto"/>
        <w:ind w:left="26" w:right="1239" w:firstLine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eastAsia="zh-CN"/>
        </w:rPr>
        <w:t>货币政策传导机制有哪些？并阐述其中哪个传导机制可说明名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义利率对于投资支出和总产出而言十分重要？为什么？</w:t>
      </w:r>
    </w:p>
    <w:p w14:paraId="4DECF948">
      <w:pPr>
        <w:pStyle w:val="2"/>
        <w:spacing w:before="1" w:line="219" w:lineRule="auto"/>
        <w:ind w:left="44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参考答案：</w:t>
      </w:r>
    </w:p>
    <w:p w14:paraId="172424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36" w:lineRule="auto"/>
        <w:ind w:left="23" w:right="0" w:firstLine="437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1.  银行存款途径。银行在金融体系中扮演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着一个特殊的角色</w:t>
      </w:r>
      <w:r>
        <w:rPr>
          <w:rFonts w:hint="eastAsia" w:cs="宋体"/>
          <w:spacing w:val="-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是因银行具有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解决信用市场信息不对称问题的作用。货币政策可通过对银行贷放资金的行为产生影响来发挥作用。扩张性的货币政策会增加银行的准备金和存款，从而增加银行可供借贷的资金。因为许多借款人的行为都依赖于银行贷款，因此贷款的增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必然会导致更多数量的投资支出（或者消费支出）。银行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贷款途径表示为：M↑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→BD↑→BL↑→I↑→Y↑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。其中，BD 代表银行存款，BL 代表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银行贷款。</w:t>
      </w:r>
    </w:p>
    <w:p w14:paraId="60A02C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36" w:lineRule="auto"/>
        <w:ind w:left="23" w:right="0" w:firstLine="414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2.  资产负债表途径。和银行贷款途径一样，资产负债表途径也是由于信用市场的信息不对称造成的。货币政策通过多种渠道影响企业的资产负债表。扩张的货币政策会导致股票价格的升高，进而提高企业净值，而企业净值的升高会减少逆向选择和道德风险问题，又会刺激投资支出和总需求的增加。资产负债表途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为：M↑→Ps↑→as↓</w:t>
      </w:r>
      <w:r>
        <w:rPr>
          <w:rFonts w:hint="eastAsia" w:ascii="宋体" w:hAnsi="宋体" w:eastAsia="宋体" w:cs="宋体"/>
          <w:spacing w:val="-3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、mh↓→L↑→I↑→Y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↑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。其中，as 代表逆向选择，mh 代表道德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风险，L 代表贷款。</w:t>
      </w:r>
    </w:p>
    <w:p w14:paraId="5B18A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00" w:lineRule="auto"/>
        <w:ind w:left="23" w:right="0" w:firstLine="42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3.  现金流途径。所谓现金流是指现金收入与支出的差额。扩张性的货币政策会降低名义利率水平，现金流会因此增加，使得企业的资产负债表得到改善。企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业资产负债表状况的改善会减少逆向选择和道德风险，从而导致贷款总量的增加，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刺激经济活动。现金流途径为：M↑→i↓→CF↑→as↓</w:t>
      </w:r>
      <w:r>
        <w:rPr>
          <w:rFonts w:hint="eastAsia" w:ascii="宋体" w:hAnsi="宋体" w:eastAsia="宋体" w:cs="宋体"/>
          <w:spacing w:val="-3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、mh↓→L↑→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I↑→Y↑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。其中，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CF 代表企业现金流。</w:t>
      </w:r>
    </w:p>
    <w:p w14:paraId="5CBB8B6D">
      <w:pPr>
        <w:pStyle w:val="2"/>
        <w:spacing w:before="21" w:line="330" w:lineRule="auto"/>
        <w:ind w:left="18" w:firstLine="41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4.  预料之外的价格水平途径。在工业化国家中，债务总是以固定的名义利率计息的，而出乎意料的价格水平变化会降低企业的实际负债，但是不降低企业的资产价值，于是货币扩张引起物价水平意料之外的上升增加企业的实际净值，缓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解了逆向选择和道德风险问题，这又会导致投资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支出的增加和总产出水平的提高：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M↑→UP↑→as↓</w:t>
      </w:r>
      <w:r>
        <w:rPr>
          <w:rFonts w:hint="eastAsia" w:ascii="宋体" w:hAnsi="宋体" w:eastAsia="宋体" w:cs="宋体"/>
          <w:spacing w:val="-3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、mh↓→L↑→I↑→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Y↑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。其中，UP 代表价格水平超预期的变动。</w:t>
      </w:r>
    </w:p>
    <w:p w14:paraId="21E0B542">
      <w:pPr>
        <w:pStyle w:val="2"/>
        <w:spacing w:before="191" w:line="340" w:lineRule="auto"/>
        <w:ind w:left="23" w:right="179" w:firstLine="42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5.  对家庭流动性的作用。这种观点认为，资产负债表途径发挥作用是通过消费者的支出意愿，而非贷款人的放款意愿。当消费者拥有的金融资产规模大于债务规模时，其遭遇财务困境的可能性就很小，进而更乐于购买耐用品和住宅。当股票价格升高时，金融资产价值随之增加，改善了消费者的资产负债表状况，并且出现财务困境的可能性较小，耐用品的支出会随之进一步增加。此途径可表示为：M↑→Ps↑→FS↑→LFD↓→CDH↑→Y↑。其中，FS 代表金融资产，LFD</w:t>
      </w:r>
      <w:r>
        <w:rPr>
          <w:rFonts w:hint="eastAsia" w:ascii="宋体" w:hAnsi="宋体" w:eastAsia="宋体" w:cs="宋体"/>
          <w:spacing w:val="25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是发生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经济困难的可能性，CDH 代表耐用品和住宅的消费支出。</w:t>
      </w:r>
    </w:p>
    <w:p w14:paraId="44966497">
      <w:pPr>
        <w:pStyle w:val="2"/>
        <w:spacing w:before="184" w:line="361" w:lineRule="auto"/>
        <w:ind w:left="22" w:right="179" w:firstLine="421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其中，现金流途径可以说明名义利率对投资支出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而言非常重要，随着名义利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率的下降，企业的资产负债表会有所改善，贷款人更易判断企业和家庭是否能够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偿还其债务，因此，逆向选择和道德风险问题得以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缓解，贷款规模上升。</w:t>
      </w:r>
    </w:p>
    <w:sectPr>
      <w:head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E7F1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C7827"/>
    <w:rsid w:val="001C7827"/>
    <w:rsid w:val="00536E81"/>
    <w:rsid w:val="008328F5"/>
    <w:rsid w:val="00846A60"/>
    <w:rsid w:val="009D0046"/>
    <w:rsid w:val="00AB05EF"/>
    <w:rsid w:val="00D85F8C"/>
    <w:rsid w:val="098F7F23"/>
    <w:rsid w:val="1C9F78B6"/>
    <w:rsid w:val="36056AFA"/>
    <w:rsid w:val="476040AB"/>
    <w:rsid w:val="717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" w:hAnsi="等线" w:eastAsia="等线" w:cs="Times New Roman"/>
      <w:b/>
      <w:bCs/>
      <w:kern w:val="28"/>
      <w:sz w:val="3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7">
    <w:name w:val="Hyperlink"/>
    <w:qFormat/>
    <w:uiPriority w:val="0"/>
    <w:rPr>
      <w:color w:val="0563C1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3819</Words>
  <Characters>4109</Characters>
  <Lines>32</Lines>
  <Paragraphs>9</Paragraphs>
  <TotalTime>6</TotalTime>
  <ScaleCrop>false</ScaleCrop>
  <LinksUpToDate>false</LinksUpToDate>
  <CharactersWithSpaces>4243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2024-12-30T10:31:00Z</dcterms:created>
  <dc:creator>DELL</dc:creator>
  <cp:lastModifiedBy>李婧泓</cp:lastModifiedBy>
  <dcterms:modified xsi:type="dcterms:W3CDTF">2025-12-23T01:06:42Z</dcterms:modified>
  <dc:title>硕士研究生入学考试              考试大纲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2025-12-15T17:02:36Z</vt:filetime>
  </property>
  <property fmtid="{D5CDD505-2E9C-101B-9397-08002B2CF9AE}" pid="4" name="KSOTemplateDocerSaveRecord">
    <vt:lpwstr>eyJoZGlkIjoiYzY0ZjkxMTdhYmEwZWRjYjlmYjFlNmZjNDFlNTY0OTAiLCJ1c2VySWQiOiIxNzM1MjAwMTA0In0=</vt:lpwstr>
  </property>
  <property fmtid="{D5CDD505-2E9C-101B-9397-08002B2CF9AE}" pid="5" name="KSOProductBuildVer">
    <vt:lpwstr>2052-12.1.0.23542</vt:lpwstr>
  </property>
  <property fmtid="{D5CDD505-2E9C-101B-9397-08002B2CF9AE}" pid="6" name="ICV">
    <vt:lpwstr>E0E0A996CB4147E7B30E7F6A18948821_12</vt:lpwstr>
  </property>
</Properties>
</file>