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B3E78">
      <w:pPr>
        <w:jc w:val="center"/>
        <w:rPr>
          <w:rFonts w:ascii="仿宋_GB2312" w:eastAsia="仿宋_GB2312"/>
          <w:b/>
          <w:sz w:val="32"/>
          <w:szCs w:val="32"/>
        </w:rPr>
      </w:pPr>
      <w:bookmarkStart w:id="0" w:name="OLE_LINK3"/>
      <w:r>
        <w:rPr>
          <w:rFonts w:ascii="仿宋_GB2312" w:eastAsia="仿宋_GB2312"/>
          <w:b/>
          <w:sz w:val="32"/>
          <w:szCs w:val="32"/>
        </w:rPr>
        <w:t>首都经济贸易大学202</w:t>
      </w:r>
      <w:r>
        <w:rPr>
          <w:rFonts w:hint="eastAsia" w:ascii="仿宋_GB2312" w:eastAsia="仿宋_GB2312"/>
          <w:b/>
          <w:sz w:val="32"/>
          <w:szCs w:val="32"/>
        </w:rPr>
        <w:t>6</w:t>
      </w:r>
      <w:r>
        <w:rPr>
          <w:rFonts w:ascii="仿宋_GB2312" w:eastAsia="仿宋_GB2312"/>
          <w:b/>
          <w:sz w:val="32"/>
          <w:szCs w:val="32"/>
        </w:rPr>
        <w:t>年硕士研究生</w:t>
      </w:r>
      <w:r>
        <w:rPr>
          <w:rFonts w:hint="eastAsia" w:ascii="仿宋_GB2312" w:eastAsia="仿宋_GB2312"/>
          <w:b/>
          <w:sz w:val="32"/>
          <w:szCs w:val="32"/>
        </w:rPr>
        <w:t>招生</w:t>
      </w:r>
      <w:r>
        <w:rPr>
          <w:rFonts w:ascii="仿宋_GB2312" w:eastAsia="仿宋_GB2312"/>
          <w:b/>
          <w:sz w:val="32"/>
          <w:szCs w:val="32"/>
        </w:rPr>
        <w:t>考试</w:t>
      </w:r>
    </w:p>
    <w:p w14:paraId="23E8572A">
      <w:pPr>
        <w:jc w:val="center"/>
        <w:rPr>
          <w:rFonts w:ascii="仿宋_GB2312" w:eastAsia="仿宋_GB2312"/>
          <w:b/>
          <w:sz w:val="32"/>
          <w:szCs w:val="32"/>
        </w:rPr>
      </w:pPr>
      <w:r>
        <w:rPr>
          <w:rFonts w:ascii="仿宋_GB2312" w:eastAsia="仿宋_GB2312"/>
          <w:b/>
          <w:sz w:val="32"/>
          <w:szCs w:val="32"/>
        </w:rPr>
        <w:t>《</w:t>
      </w:r>
      <w:r>
        <w:rPr>
          <w:rFonts w:hint="eastAsia" w:ascii="仿宋_GB2312" w:eastAsia="仿宋_GB2312"/>
          <w:b/>
          <w:sz w:val="32"/>
          <w:szCs w:val="32"/>
        </w:rPr>
        <w:t>国际贸易</w:t>
      </w:r>
      <w:r>
        <w:rPr>
          <w:rFonts w:ascii="仿宋_GB2312" w:eastAsia="仿宋_GB2312"/>
          <w:b/>
          <w:sz w:val="32"/>
          <w:szCs w:val="32"/>
        </w:rPr>
        <w:t>学》复试大纲</w:t>
      </w:r>
    </w:p>
    <w:bookmarkEnd w:id="0"/>
    <w:p w14:paraId="09C2B09B">
      <w:pPr>
        <w:ind w:firstLine="588" w:firstLineChars="245"/>
        <w:jc w:val="left"/>
        <w:rPr>
          <w:rFonts w:ascii="仿宋_GB2312" w:eastAsia="仿宋_GB2312"/>
          <w:sz w:val="24"/>
          <w:szCs w:val="24"/>
        </w:rPr>
      </w:pPr>
    </w:p>
    <w:p w14:paraId="0CFDE761">
      <w:pPr>
        <w:jc w:val="left"/>
        <w:rPr>
          <w:rFonts w:ascii="仿宋_GB2312" w:eastAsia="仿宋_GB2312"/>
          <w:sz w:val="24"/>
          <w:szCs w:val="24"/>
        </w:rPr>
      </w:pPr>
      <w:r>
        <w:rPr>
          <w:rFonts w:hint="eastAsia" w:ascii="仿宋_GB2312" w:eastAsia="仿宋_GB2312"/>
          <w:sz w:val="24"/>
          <w:szCs w:val="24"/>
        </w:rPr>
        <w:t>说明：</w:t>
      </w:r>
    </w:p>
    <w:p w14:paraId="03A22924">
      <w:pPr>
        <w:jc w:val="left"/>
        <w:rPr>
          <w:rFonts w:ascii="仿宋_GB2312" w:eastAsia="仿宋_GB2312"/>
          <w:sz w:val="24"/>
          <w:szCs w:val="24"/>
        </w:rPr>
      </w:pPr>
      <w:r>
        <w:rPr>
          <w:rFonts w:hint="eastAsia" w:ascii="仿宋_GB2312" w:eastAsia="仿宋_GB2312"/>
          <w:sz w:val="24"/>
          <w:szCs w:val="24"/>
        </w:rPr>
        <w:t>1.本科目考试时不得使用计算器。</w:t>
      </w:r>
    </w:p>
    <w:p w14:paraId="7F1106B1">
      <w:pPr>
        <w:wordWrap w:val="0"/>
        <w:jc w:val="left"/>
        <w:rPr>
          <w:rFonts w:ascii="仿宋_GB2312" w:eastAsia="仿宋_GB2312"/>
          <w:sz w:val="24"/>
          <w:szCs w:val="24"/>
        </w:rPr>
      </w:pPr>
      <w:r>
        <w:rPr>
          <w:rFonts w:hint="eastAsia" w:ascii="仿宋_GB2312" w:eastAsia="仿宋_GB2312"/>
          <w:sz w:val="24"/>
          <w:szCs w:val="24"/>
        </w:rPr>
        <w:t>2.请考生随时关注我校研究生院网站招生动态栏目（网址</w:t>
      </w:r>
      <w:r>
        <w:fldChar w:fldCharType="begin"/>
      </w:r>
      <w:r>
        <w:instrText xml:space="preserve"> HYPERLINK "https://yjs.cueb.edu.cn/zsks/zsdt/index.htm" </w:instrText>
      </w:r>
      <w:r>
        <w:fldChar w:fldCharType="separate"/>
      </w:r>
      <w:r>
        <w:rPr>
          <w:rStyle w:val="8"/>
          <w:rFonts w:hint="eastAsia" w:ascii="仿宋_GB2312" w:eastAsia="仿宋_GB2312"/>
          <w:color w:val="0563C1"/>
          <w:sz w:val="24"/>
          <w:szCs w:val="24"/>
        </w:rPr>
        <w:t>https://yjs.cueb.edu.cn/zsks/zsdt/index.htm</w:t>
      </w:r>
      <w:r>
        <w:rPr>
          <w:rStyle w:val="8"/>
          <w:rFonts w:hint="eastAsia" w:ascii="仿宋_GB2312" w:eastAsia="仿宋_GB2312"/>
          <w:color w:val="0563C1"/>
          <w:sz w:val="24"/>
          <w:szCs w:val="24"/>
        </w:rPr>
        <w:fldChar w:fldCharType="end"/>
      </w:r>
      <w:r>
        <w:rPr>
          <w:rFonts w:hint="eastAsia" w:ascii="仿宋_GB2312" w:eastAsia="仿宋_GB2312"/>
          <w:sz w:val="24"/>
          <w:szCs w:val="24"/>
        </w:rPr>
        <w:t>），如有大纲更新或变动，均以官方网站的最近通知为准。</w:t>
      </w:r>
    </w:p>
    <w:p w14:paraId="4B3AB27B">
      <w:pPr>
        <w:wordWrap w:val="0"/>
        <w:jc w:val="left"/>
        <w:rPr>
          <w:rFonts w:ascii="仿宋_GB2312" w:eastAsia="仿宋_GB2312"/>
          <w:sz w:val="24"/>
          <w:szCs w:val="24"/>
        </w:rPr>
      </w:pPr>
    </w:p>
    <w:p w14:paraId="65A4E135">
      <w:pPr>
        <w:spacing w:before="240" w:after="60"/>
        <w:jc w:val="center"/>
        <w:outlineLvl w:val="0"/>
        <w:rPr>
          <w:rFonts w:ascii="宋体" w:hAnsi="宋体"/>
          <w:b/>
          <w:bCs/>
          <w:color w:val="000000"/>
          <w:sz w:val="28"/>
          <w:szCs w:val="28"/>
        </w:rPr>
      </w:pPr>
      <w:r>
        <w:rPr>
          <w:rFonts w:ascii="宋体" w:hAnsi="宋体"/>
          <w:b/>
          <w:bCs/>
          <w:color w:val="000000"/>
          <w:sz w:val="28"/>
          <w:szCs w:val="28"/>
        </w:rPr>
        <w:t>第一部分 考试说明</w:t>
      </w:r>
    </w:p>
    <w:p w14:paraId="7076876F">
      <w:pPr>
        <w:spacing w:before="240" w:after="60" w:line="312" w:lineRule="auto"/>
        <w:jc w:val="left"/>
        <w:outlineLvl w:val="1"/>
        <w:rPr>
          <w:rFonts w:ascii="宋体" w:hAnsi="宋体"/>
          <w:b/>
          <w:bCs/>
          <w:color w:val="000000"/>
          <w:kern w:val="28"/>
          <w:sz w:val="24"/>
          <w:szCs w:val="24"/>
        </w:rPr>
      </w:pPr>
      <w:r>
        <w:rPr>
          <w:rFonts w:hint="eastAsia" w:ascii="宋体" w:hAnsi="宋体"/>
          <w:b/>
          <w:bCs/>
          <w:color w:val="000000"/>
          <w:kern w:val="28"/>
          <w:sz w:val="24"/>
          <w:szCs w:val="24"/>
        </w:rPr>
        <w:t>一、考试目的</w:t>
      </w:r>
    </w:p>
    <w:p w14:paraId="67879857">
      <w:pPr>
        <w:spacing w:line="360" w:lineRule="auto"/>
        <w:ind w:firstLine="480" w:firstLineChars="200"/>
        <w:rPr>
          <w:sz w:val="24"/>
          <w:szCs w:val="24"/>
        </w:rPr>
      </w:pPr>
      <w:r>
        <w:rPr>
          <w:rFonts w:hint="eastAsia"/>
          <w:sz w:val="24"/>
          <w:szCs w:val="24"/>
        </w:rPr>
        <w:t>旨在考核考生是否具备攻读国际贸易学硕士学位所需的专业基础理论、综合分析能力及科研潜力。重点考查考生对国际贸易基本理论、分析方法和现实经贸问题的理解与应用能力，选拔理论功底扎实、逻辑清晰、具有学术发展潜质或政策分析能力的优秀学生。</w:t>
      </w:r>
    </w:p>
    <w:p w14:paraId="3ABBD5B5">
      <w:pPr>
        <w:spacing w:before="240" w:after="60" w:line="312" w:lineRule="auto"/>
        <w:jc w:val="left"/>
        <w:outlineLvl w:val="1"/>
        <w:rPr>
          <w:rFonts w:ascii="宋体" w:hAnsi="宋体"/>
          <w:b/>
          <w:bCs/>
          <w:color w:val="000000"/>
          <w:kern w:val="28"/>
          <w:sz w:val="24"/>
          <w:szCs w:val="24"/>
        </w:rPr>
      </w:pPr>
      <w:r>
        <w:rPr>
          <w:rFonts w:hint="eastAsia" w:ascii="宋体" w:hAnsi="宋体"/>
          <w:b/>
          <w:bCs/>
          <w:color w:val="000000"/>
          <w:kern w:val="28"/>
          <w:sz w:val="24"/>
          <w:szCs w:val="24"/>
        </w:rPr>
        <w:t>二、考试范围</w:t>
      </w:r>
    </w:p>
    <w:p w14:paraId="254F80D2">
      <w:pPr>
        <w:spacing w:line="360" w:lineRule="auto"/>
        <w:ind w:firstLine="480" w:firstLineChars="200"/>
        <w:rPr>
          <w:sz w:val="24"/>
          <w:szCs w:val="24"/>
        </w:rPr>
      </w:pPr>
      <w:r>
        <w:rPr>
          <w:rFonts w:hint="eastAsia"/>
          <w:sz w:val="24"/>
          <w:szCs w:val="24"/>
        </w:rPr>
        <w:t>国际贸易理论、国际贸易政策、生产要素国际流动、经济一体化、贸易与发展。</w:t>
      </w:r>
    </w:p>
    <w:p w14:paraId="53025858">
      <w:pPr>
        <w:spacing w:before="240" w:after="60" w:line="312" w:lineRule="auto"/>
        <w:jc w:val="left"/>
        <w:outlineLvl w:val="1"/>
        <w:rPr>
          <w:rFonts w:ascii="宋体" w:hAnsi="宋体"/>
          <w:b/>
          <w:bCs/>
          <w:color w:val="000000"/>
          <w:kern w:val="28"/>
          <w:sz w:val="24"/>
          <w:szCs w:val="24"/>
        </w:rPr>
      </w:pPr>
      <w:r>
        <w:rPr>
          <w:rFonts w:hint="eastAsia" w:ascii="宋体" w:hAnsi="宋体"/>
          <w:b/>
          <w:bCs/>
          <w:color w:val="000000"/>
          <w:kern w:val="28"/>
          <w:sz w:val="24"/>
          <w:szCs w:val="24"/>
        </w:rPr>
        <w:t>三、考试基本要求</w:t>
      </w:r>
    </w:p>
    <w:p w14:paraId="5F5ED6AD">
      <w:pPr>
        <w:spacing w:line="360" w:lineRule="auto"/>
        <w:ind w:firstLine="480" w:firstLineChars="200"/>
        <w:rPr>
          <w:sz w:val="24"/>
          <w:szCs w:val="24"/>
        </w:rPr>
      </w:pPr>
      <w:r>
        <w:rPr>
          <w:rFonts w:hint="eastAsia"/>
          <w:sz w:val="24"/>
          <w:szCs w:val="24"/>
        </w:rPr>
        <w:t>《国际贸易学》是国际贸易学硕士研究生复试科目，主要考核学生对国际贸易学知识体系、基本理论、研究方法的掌握情况以及综合运用理论和方法分析和解决现实问题的能力，包括：</w:t>
      </w:r>
    </w:p>
    <w:p w14:paraId="6326018B">
      <w:pPr>
        <w:spacing w:line="360" w:lineRule="auto"/>
        <w:ind w:firstLine="480" w:firstLineChars="200"/>
        <w:rPr>
          <w:sz w:val="24"/>
          <w:szCs w:val="24"/>
        </w:rPr>
      </w:pPr>
      <w:r>
        <w:rPr>
          <w:rFonts w:hint="eastAsia"/>
          <w:sz w:val="24"/>
          <w:szCs w:val="24"/>
        </w:rPr>
        <w:t>1、掌握国际贸易学的核心概念、基本理论与分析方法，能够系统阐述经典理论及其演进脉络。</w:t>
      </w:r>
    </w:p>
    <w:p w14:paraId="1D75ABA4">
      <w:pPr>
        <w:spacing w:line="360" w:lineRule="auto"/>
        <w:ind w:firstLine="480" w:firstLineChars="200"/>
        <w:rPr>
          <w:sz w:val="24"/>
          <w:szCs w:val="24"/>
        </w:rPr>
      </w:pPr>
      <w:r>
        <w:rPr>
          <w:rFonts w:hint="eastAsia"/>
          <w:sz w:val="24"/>
          <w:szCs w:val="24"/>
        </w:rPr>
        <w:t>2、具备运用国际贸易学理论分析现实问题的能力，能够结合中国外经贸发展实践进行逻辑清晰、论据充分的论述。</w:t>
      </w:r>
    </w:p>
    <w:p w14:paraId="166CB142">
      <w:pPr>
        <w:spacing w:line="360" w:lineRule="auto"/>
        <w:ind w:firstLine="480" w:firstLineChars="200"/>
        <w:rPr>
          <w:sz w:val="24"/>
          <w:szCs w:val="24"/>
        </w:rPr>
      </w:pPr>
      <w:r>
        <w:rPr>
          <w:rFonts w:hint="eastAsia"/>
          <w:sz w:val="24"/>
          <w:szCs w:val="24"/>
        </w:rPr>
        <w:t>3、了解国内</w:t>
      </w:r>
      <w:bookmarkStart w:id="1" w:name="OLE_LINK9"/>
      <w:r>
        <w:rPr>
          <w:rFonts w:hint="eastAsia"/>
          <w:sz w:val="24"/>
          <w:szCs w:val="24"/>
        </w:rPr>
        <w:t>外经贸议题的研究进展与政策动态</w:t>
      </w:r>
      <w:bookmarkEnd w:id="1"/>
      <w:r>
        <w:rPr>
          <w:rFonts w:hint="eastAsia"/>
          <w:sz w:val="24"/>
          <w:szCs w:val="24"/>
        </w:rPr>
        <w:t>，具备一定的批判性思维和创新性分析能力。</w:t>
      </w:r>
    </w:p>
    <w:p w14:paraId="62749972">
      <w:pPr>
        <w:spacing w:line="360" w:lineRule="auto"/>
        <w:ind w:firstLine="480" w:firstLineChars="200"/>
        <w:rPr>
          <w:sz w:val="24"/>
          <w:szCs w:val="24"/>
        </w:rPr>
      </w:pPr>
      <w:r>
        <w:rPr>
          <w:rFonts w:hint="eastAsia"/>
          <w:sz w:val="24"/>
          <w:szCs w:val="24"/>
        </w:rPr>
        <w:t>4、答题</w:t>
      </w:r>
      <w:r>
        <w:rPr>
          <w:rFonts w:hint="eastAsia"/>
          <w:sz w:val="24"/>
          <w:szCs w:val="24"/>
          <w:lang w:val="en-US" w:eastAsia="zh-CN"/>
        </w:rPr>
        <w:t>逻辑</w:t>
      </w:r>
      <w:r>
        <w:rPr>
          <w:rFonts w:hint="eastAsia"/>
          <w:sz w:val="24"/>
          <w:szCs w:val="24"/>
        </w:rPr>
        <w:t>严谨、表述规范、论证有据，体现较强的</w:t>
      </w:r>
      <w:r>
        <w:rPr>
          <w:rFonts w:hint="eastAsia"/>
          <w:sz w:val="24"/>
          <w:szCs w:val="24"/>
          <w:lang w:val="en-US" w:eastAsia="zh-CN"/>
        </w:rPr>
        <w:t>思辨</w:t>
      </w:r>
      <w:bookmarkStart w:id="3" w:name="_GoBack"/>
      <w:bookmarkEnd w:id="3"/>
      <w:r>
        <w:rPr>
          <w:rFonts w:hint="eastAsia"/>
          <w:sz w:val="24"/>
          <w:szCs w:val="24"/>
        </w:rPr>
        <w:t>能力和文字写作能力。</w:t>
      </w:r>
    </w:p>
    <w:p w14:paraId="1C040EC6">
      <w:pPr>
        <w:spacing w:before="240" w:after="60" w:line="312" w:lineRule="auto"/>
        <w:jc w:val="left"/>
        <w:outlineLvl w:val="1"/>
        <w:rPr>
          <w:rFonts w:ascii="宋体" w:hAnsi="宋体"/>
          <w:b/>
          <w:bCs/>
          <w:color w:val="000000"/>
          <w:kern w:val="28"/>
          <w:sz w:val="24"/>
          <w:szCs w:val="24"/>
        </w:rPr>
      </w:pPr>
      <w:r>
        <w:rPr>
          <w:rFonts w:hint="eastAsia" w:ascii="宋体" w:hAnsi="宋体"/>
          <w:b/>
          <w:bCs/>
          <w:color w:val="000000"/>
          <w:kern w:val="28"/>
          <w:sz w:val="24"/>
          <w:szCs w:val="24"/>
        </w:rPr>
        <w:t>四、考试形式与试卷结构</w:t>
      </w:r>
    </w:p>
    <w:p w14:paraId="62B77D7F">
      <w:pPr>
        <w:spacing w:line="360" w:lineRule="auto"/>
        <w:ind w:firstLine="480" w:firstLineChars="200"/>
        <w:rPr>
          <w:sz w:val="24"/>
          <w:szCs w:val="24"/>
        </w:rPr>
      </w:pPr>
      <w:r>
        <w:rPr>
          <w:rFonts w:hint="eastAsia"/>
          <w:sz w:val="24"/>
          <w:szCs w:val="24"/>
        </w:rPr>
        <w:t>1、答卷方式：闭卷，笔试</w:t>
      </w:r>
    </w:p>
    <w:p w14:paraId="34565A7D">
      <w:pPr>
        <w:spacing w:line="360" w:lineRule="auto"/>
        <w:ind w:firstLine="480" w:firstLineChars="200"/>
        <w:rPr>
          <w:sz w:val="24"/>
          <w:szCs w:val="24"/>
        </w:rPr>
      </w:pPr>
      <w:r>
        <w:rPr>
          <w:rFonts w:hint="eastAsia"/>
          <w:sz w:val="24"/>
          <w:szCs w:val="24"/>
        </w:rPr>
        <w:t>2、答题时间：120分钟。</w:t>
      </w:r>
    </w:p>
    <w:p w14:paraId="6FDA2FB8">
      <w:pPr>
        <w:spacing w:line="360" w:lineRule="auto"/>
        <w:ind w:firstLine="480" w:firstLineChars="200"/>
        <w:rPr>
          <w:sz w:val="24"/>
          <w:szCs w:val="24"/>
        </w:rPr>
      </w:pPr>
      <w:r>
        <w:rPr>
          <w:rFonts w:hint="eastAsia"/>
          <w:sz w:val="24"/>
          <w:szCs w:val="24"/>
        </w:rPr>
        <w:t>3、题型及分值：题型包括简答题（4题，每题10分）、论述题（2题，每题20分）、案例题（1题，每题20分），满分100分。</w:t>
      </w:r>
    </w:p>
    <w:p w14:paraId="5E7F8D1A">
      <w:pPr>
        <w:spacing w:before="240" w:after="60" w:line="312" w:lineRule="auto"/>
        <w:jc w:val="left"/>
        <w:outlineLvl w:val="1"/>
        <w:rPr>
          <w:rFonts w:ascii="宋体" w:hAnsi="宋体"/>
          <w:b/>
          <w:bCs/>
          <w:color w:val="000000"/>
          <w:kern w:val="28"/>
          <w:sz w:val="24"/>
          <w:szCs w:val="24"/>
        </w:rPr>
      </w:pPr>
      <w:r>
        <w:rPr>
          <w:rFonts w:hint="eastAsia" w:ascii="宋体" w:hAnsi="宋体"/>
          <w:b/>
          <w:bCs/>
          <w:color w:val="000000"/>
          <w:kern w:val="28"/>
          <w:sz w:val="24"/>
          <w:szCs w:val="24"/>
        </w:rPr>
        <w:t>五、参考书目</w:t>
      </w:r>
    </w:p>
    <w:p w14:paraId="77314E0C">
      <w:pPr>
        <w:spacing w:line="360" w:lineRule="auto"/>
        <w:ind w:firstLine="480" w:firstLineChars="200"/>
        <w:rPr>
          <w:sz w:val="24"/>
          <w:szCs w:val="24"/>
        </w:rPr>
      </w:pPr>
      <w:bookmarkStart w:id="2" w:name="OLE_LINK8"/>
      <w:r>
        <w:rPr>
          <w:rFonts w:hint="eastAsia"/>
          <w:sz w:val="24"/>
          <w:szCs w:val="24"/>
        </w:rPr>
        <w:t>1、《国际贸易》（第十一版），保罗·克鲁格曼，茅瑞斯·奥伯斯法尔德等，（中译本），中国人民大学出版社，2021年。</w:t>
      </w:r>
    </w:p>
    <w:p w14:paraId="0B7D6AEA">
      <w:pPr>
        <w:spacing w:line="360" w:lineRule="auto"/>
        <w:ind w:firstLine="480" w:firstLineChars="200"/>
        <w:rPr>
          <w:sz w:val="24"/>
          <w:szCs w:val="24"/>
        </w:rPr>
      </w:pPr>
      <w:r>
        <w:rPr>
          <w:rFonts w:hint="eastAsia"/>
          <w:sz w:val="24"/>
          <w:szCs w:val="24"/>
        </w:rPr>
        <w:t>2、《国际贸易——理论•政策•实务》，贾金思、郎丽华、姚东旭 主编，对外经济贸易大学出版社，2013年。</w:t>
      </w:r>
      <w:bookmarkEnd w:id="2"/>
    </w:p>
    <w:p w14:paraId="43D3BB0B">
      <w:pPr>
        <w:spacing w:before="240" w:after="60" w:line="312" w:lineRule="auto"/>
        <w:jc w:val="left"/>
        <w:outlineLvl w:val="1"/>
        <w:rPr>
          <w:rFonts w:ascii="宋体" w:hAnsi="宋体"/>
          <w:b/>
          <w:bCs/>
          <w:color w:val="000000"/>
          <w:kern w:val="28"/>
          <w:sz w:val="24"/>
          <w:szCs w:val="24"/>
        </w:rPr>
      </w:pPr>
      <w:r>
        <w:rPr>
          <w:rFonts w:hint="eastAsia" w:ascii="宋体" w:hAnsi="宋体"/>
          <w:b/>
          <w:bCs/>
          <w:color w:val="000000"/>
          <w:kern w:val="28"/>
          <w:sz w:val="24"/>
          <w:szCs w:val="24"/>
        </w:rPr>
        <w:t>六、需说明的问题</w:t>
      </w:r>
    </w:p>
    <w:p w14:paraId="30476F5B">
      <w:pPr>
        <w:spacing w:line="360" w:lineRule="auto"/>
        <w:ind w:firstLine="480" w:firstLineChars="200"/>
        <w:rPr>
          <w:sz w:val="24"/>
          <w:szCs w:val="24"/>
        </w:rPr>
      </w:pPr>
      <w:r>
        <w:rPr>
          <w:rFonts w:hint="eastAsia"/>
          <w:sz w:val="24"/>
          <w:szCs w:val="24"/>
        </w:rPr>
        <w:t>1、考试内容不局限于参考书目，将适度拓展到国内外经贸领域的研究进展与实践动态。</w:t>
      </w:r>
    </w:p>
    <w:p w14:paraId="58D7D55F">
      <w:pPr>
        <w:spacing w:line="360" w:lineRule="auto"/>
        <w:ind w:firstLine="480" w:firstLineChars="200"/>
        <w:rPr>
          <w:sz w:val="24"/>
          <w:szCs w:val="24"/>
        </w:rPr>
      </w:pPr>
      <w:r>
        <w:rPr>
          <w:rFonts w:hint="eastAsia"/>
          <w:sz w:val="24"/>
          <w:szCs w:val="24"/>
        </w:rPr>
        <w:t>2、鼓励考生关注中国外贸发展现实问题，注重考核考生理论联系实际的分析和解决问题的能力。</w:t>
      </w:r>
    </w:p>
    <w:p w14:paraId="6B2182AA">
      <w:pPr>
        <w:spacing w:line="360" w:lineRule="auto"/>
        <w:ind w:firstLine="480" w:firstLineChars="200"/>
        <w:rPr>
          <w:sz w:val="24"/>
          <w:szCs w:val="24"/>
        </w:rPr>
      </w:pPr>
      <w:r>
        <w:rPr>
          <w:rFonts w:hint="eastAsia"/>
          <w:sz w:val="24"/>
          <w:szCs w:val="24"/>
        </w:rPr>
        <w:t>3、除参考书目之外，鼓励考生关注《国际贸易》《世界经济》等期刊发表的专业学术论文。</w:t>
      </w:r>
    </w:p>
    <w:p w14:paraId="0DC8C595">
      <w:pPr>
        <w:spacing w:before="240" w:after="60"/>
        <w:jc w:val="center"/>
        <w:outlineLvl w:val="0"/>
        <w:rPr>
          <w:rFonts w:ascii="宋体" w:hAnsi="宋体"/>
          <w:b/>
          <w:bCs/>
          <w:color w:val="000000"/>
          <w:sz w:val="28"/>
          <w:szCs w:val="28"/>
        </w:rPr>
      </w:pPr>
      <w:r>
        <w:rPr>
          <w:rFonts w:hint="eastAsia" w:ascii="宋体" w:hAnsi="宋体"/>
          <w:b/>
          <w:bCs/>
          <w:color w:val="000000"/>
          <w:sz w:val="28"/>
          <w:szCs w:val="28"/>
        </w:rPr>
        <w:t>第二部分 考试内容</w:t>
      </w:r>
    </w:p>
    <w:p w14:paraId="6A50AA6F">
      <w:pPr>
        <w:spacing w:before="240" w:after="60" w:line="312" w:lineRule="auto"/>
        <w:jc w:val="left"/>
        <w:outlineLvl w:val="1"/>
        <w:rPr>
          <w:rFonts w:ascii="宋体" w:hAnsi="宋体"/>
          <w:b/>
          <w:bCs/>
          <w:color w:val="000000"/>
          <w:kern w:val="28"/>
          <w:sz w:val="24"/>
          <w:szCs w:val="24"/>
        </w:rPr>
      </w:pPr>
      <w:r>
        <w:rPr>
          <w:rFonts w:hint="eastAsia" w:ascii="宋体" w:hAnsi="宋体"/>
          <w:b/>
          <w:bCs/>
          <w:color w:val="000000"/>
          <w:kern w:val="28"/>
          <w:sz w:val="24"/>
          <w:szCs w:val="24"/>
        </w:rPr>
        <w:t>一、国际贸易理论</w:t>
      </w:r>
    </w:p>
    <w:p w14:paraId="25803B8D">
      <w:pPr>
        <w:spacing w:line="360" w:lineRule="auto"/>
        <w:ind w:firstLine="480" w:firstLineChars="200"/>
        <w:rPr>
          <w:sz w:val="24"/>
          <w:szCs w:val="24"/>
        </w:rPr>
      </w:pPr>
      <w:r>
        <w:rPr>
          <w:rFonts w:hint="eastAsia"/>
          <w:sz w:val="24"/>
          <w:szCs w:val="24"/>
        </w:rPr>
        <w:t>1、古典理论；2、新古典理论；3、新贸易理论</w:t>
      </w:r>
    </w:p>
    <w:p w14:paraId="7AE4FC72">
      <w:pPr>
        <w:spacing w:line="360" w:lineRule="auto"/>
        <w:rPr>
          <w:rFonts w:ascii="宋体" w:hAnsi="宋体"/>
          <w:b/>
          <w:bCs/>
          <w:color w:val="000000"/>
          <w:kern w:val="28"/>
          <w:sz w:val="24"/>
          <w:szCs w:val="24"/>
        </w:rPr>
      </w:pPr>
      <w:r>
        <w:rPr>
          <w:rFonts w:hint="eastAsia" w:ascii="宋体" w:hAnsi="宋体"/>
          <w:b/>
          <w:bCs/>
          <w:color w:val="000000"/>
          <w:kern w:val="28"/>
          <w:sz w:val="24"/>
          <w:szCs w:val="24"/>
        </w:rPr>
        <w:t>二、国际贸易政策</w:t>
      </w:r>
    </w:p>
    <w:p w14:paraId="0760E6E7">
      <w:pPr>
        <w:spacing w:line="360" w:lineRule="auto"/>
        <w:ind w:firstLine="480" w:firstLineChars="200"/>
        <w:rPr>
          <w:sz w:val="24"/>
          <w:szCs w:val="24"/>
        </w:rPr>
      </w:pPr>
      <w:r>
        <w:rPr>
          <w:rFonts w:hint="eastAsia"/>
          <w:sz w:val="24"/>
          <w:szCs w:val="24"/>
        </w:rPr>
        <w:t>1、主要贸易政策措施；</w:t>
      </w:r>
    </w:p>
    <w:p w14:paraId="7DF96654">
      <w:pPr>
        <w:spacing w:line="360" w:lineRule="auto"/>
        <w:ind w:firstLine="480" w:firstLineChars="200"/>
        <w:rPr>
          <w:sz w:val="24"/>
          <w:szCs w:val="24"/>
        </w:rPr>
      </w:pPr>
      <w:r>
        <w:rPr>
          <w:rFonts w:hint="eastAsia"/>
          <w:sz w:val="24"/>
          <w:szCs w:val="24"/>
        </w:rPr>
        <w:t>2、贸易政策的经济影响（关税与非关税，名义关税与有效关税）；</w:t>
      </w:r>
    </w:p>
    <w:p w14:paraId="03D63234">
      <w:pPr>
        <w:spacing w:line="360" w:lineRule="auto"/>
        <w:ind w:firstLine="480" w:firstLineChars="200"/>
        <w:rPr>
          <w:sz w:val="24"/>
          <w:szCs w:val="24"/>
        </w:rPr>
      </w:pPr>
      <w:r>
        <w:rPr>
          <w:rFonts w:hint="eastAsia"/>
          <w:sz w:val="24"/>
          <w:szCs w:val="24"/>
        </w:rPr>
        <w:t>3、自由贸易政策与保护贸易政策的依据；</w:t>
      </w:r>
    </w:p>
    <w:p w14:paraId="3C5C7E36">
      <w:pPr>
        <w:spacing w:line="360" w:lineRule="auto"/>
        <w:ind w:firstLine="480" w:firstLineChars="200"/>
        <w:rPr>
          <w:sz w:val="24"/>
          <w:szCs w:val="24"/>
        </w:rPr>
      </w:pPr>
      <w:r>
        <w:rPr>
          <w:rFonts w:hint="eastAsia"/>
          <w:sz w:val="24"/>
          <w:szCs w:val="24"/>
        </w:rPr>
        <w:t>4、中国对外贸易政策</w:t>
      </w:r>
    </w:p>
    <w:p w14:paraId="6DE7E2B1">
      <w:pPr>
        <w:spacing w:before="240" w:after="60" w:line="312" w:lineRule="auto"/>
        <w:jc w:val="left"/>
        <w:outlineLvl w:val="1"/>
        <w:rPr>
          <w:rFonts w:ascii="宋体" w:hAnsi="宋体"/>
          <w:b/>
          <w:bCs/>
          <w:color w:val="000000"/>
          <w:kern w:val="28"/>
          <w:sz w:val="24"/>
          <w:szCs w:val="24"/>
        </w:rPr>
      </w:pPr>
      <w:r>
        <w:rPr>
          <w:rFonts w:hint="eastAsia" w:ascii="宋体" w:hAnsi="宋体"/>
          <w:b/>
          <w:bCs/>
          <w:color w:val="000000"/>
          <w:kern w:val="28"/>
          <w:sz w:val="24"/>
          <w:szCs w:val="24"/>
        </w:rPr>
        <w:t>三、生产要素国际流动</w:t>
      </w:r>
    </w:p>
    <w:p w14:paraId="7A776466">
      <w:pPr>
        <w:spacing w:line="360" w:lineRule="auto"/>
        <w:ind w:firstLine="480" w:firstLineChars="200"/>
        <w:rPr>
          <w:sz w:val="24"/>
          <w:szCs w:val="24"/>
        </w:rPr>
      </w:pPr>
      <w:r>
        <w:rPr>
          <w:rFonts w:hint="eastAsia"/>
          <w:sz w:val="24"/>
          <w:szCs w:val="24"/>
        </w:rPr>
        <w:t>1、要素国际流动的动因；2、要素国际流动的经济影响；3、跨国公司与国际资本流动</w:t>
      </w:r>
    </w:p>
    <w:p w14:paraId="0A181DB1">
      <w:pPr>
        <w:spacing w:line="360" w:lineRule="auto"/>
        <w:rPr>
          <w:b/>
          <w:bCs/>
          <w:sz w:val="24"/>
          <w:szCs w:val="24"/>
        </w:rPr>
      </w:pPr>
      <w:r>
        <w:rPr>
          <w:rFonts w:hint="eastAsia"/>
          <w:b/>
          <w:bCs/>
          <w:sz w:val="24"/>
          <w:szCs w:val="24"/>
        </w:rPr>
        <w:t>四、经济一体化</w:t>
      </w:r>
    </w:p>
    <w:p w14:paraId="616B8468">
      <w:pPr>
        <w:spacing w:line="360" w:lineRule="auto"/>
        <w:ind w:firstLine="480" w:firstLineChars="200"/>
        <w:rPr>
          <w:sz w:val="24"/>
          <w:szCs w:val="24"/>
        </w:rPr>
      </w:pPr>
      <w:r>
        <w:rPr>
          <w:rFonts w:hint="eastAsia"/>
          <w:sz w:val="24"/>
          <w:szCs w:val="24"/>
        </w:rPr>
        <w:t>1、经济全球化与地区经济一体化；2、经济一体化组织形式；</w:t>
      </w:r>
    </w:p>
    <w:p w14:paraId="0191BAF1">
      <w:pPr>
        <w:spacing w:line="360" w:lineRule="auto"/>
        <w:ind w:firstLine="480" w:firstLineChars="200"/>
        <w:rPr>
          <w:sz w:val="24"/>
          <w:szCs w:val="24"/>
        </w:rPr>
      </w:pPr>
      <w:r>
        <w:rPr>
          <w:rFonts w:hint="eastAsia"/>
          <w:sz w:val="24"/>
          <w:szCs w:val="24"/>
        </w:rPr>
        <w:t>3、经济一体化的经济影响</w:t>
      </w:r>
    </w:p>
    <w:p w14:paraId="711D6791">
      <w:pPr>
        <w:spacing w:line="360" w:lineRule="auto"/>
        <w:rPr>
          <w:b/>
          <w:bCs/>
          <w:sz w:val="24"/>
          <w:szCs w:val="24"/>
        </w:rPr>
      </w:pPr>
      <w:r>
        <w:rPr>
          <w:rFonts w:hint="eastAsia"/>
          <w:b/>
          <w:bCs/>
          <w:sz w:val="24"/>
          <w:szCs w:val="24"/>
        </w:rPr>
        <w:t>五、贸易与发展</w:t>
      </w:r>
    </w:p>
    <w:p w14:paraId="7DCD5479">
      <w:pPr>
        <w:spacing w:line="360" w:lineRule="auto"/>
        <w:ind w:firstLine="480" w:firstLineChars="200"/>
        <w:rPr>
          <w:rFonts w:hint="eastAsia"/>
          <w:sz w:val="24"/>
          <w:szCs w:val="24"/>
        </w:rPr>
      </w:pPr>
      <w:r>
        <w:rPr>
          <w:rFonts w:hint="eastAsia"/>
          <w:sz w:val="24"/>
          <w:szCs w:val="24"/>
        </w:rPr>
        <w:t>1、贸易在经济发展中的重要性；2、进口替代与出口导向</w:t>
      </w:r>
    </w:p>
    <w:p w14:paraId="53B31360">
      <w:pPr>
        <w:spacing w:before="240" w:after="60"/>
        <w:jc w:val="center"/>
        <w:outlineLvl w:val="0"/>
        <w:rPr>
          <w:rFonts w:ascii="宋体" w:hAnsi="宋体"/>
          <w:b/>
          <w:bCs/>
          <w:color w:val="000000"/>
          <w:sz w:val="28"/>
          <w:szCs w:val="28"/>
        </w:rPr>
      </w:pPr>
      <w:r>
        <w:rPr>
          <w:rFonts w:ascii="宋体" w:hAnsi="宋体"/>
          <w:b/>
          <w:bCs/>
          <w:color w:val="000000"/>
          <w:sz w:val="28"/>
          <w:szCs w:val="28"/>
        </w:rPr>
        <w:t>第三部分  题型示例</w:t>
      </w:r>
    </w:p>
    <w:p w14:paraId="0BCB5B00">
      <w:pPr>
        <w:spacing w:line="360" w:lineRule="auto"/>
        <w:ind w:firstLine="480" w:firstLineChars="200"/>
        <w:rPr>
          <w:sz w:val="24"/>
          <w:szCs w:val="24"/>
        </w:rPr>
      </w:pPr>
      <w:r>
        <w:rPr>
          <w:rFonts w:hint="eastAsia"/>
          <w:sz w:val="24"/>
          <w:szCs w:val="24"/>
        </w:rPr>
        <w:t>考生请注意：题型示例仅供参考，每类题型仅提供1道例题，实际考试试题数量与本部分不一定相同。</w:t>
      </w:r>
    </w:p>
    <w:p w14:paraId="10E59D49">
      <w:pPr>
        <w:spacing w:before="240" w:after="60" w:line="312" w:lineRule="auto"/>
        <w:jc w:val="left"/>
        <w:outlineLvl w:val="1"/>
        <w:rPr>
          <w:rFonts w:ascii="宋体" w:hAnsi="宋体"/>
          <w:b/>
          <w:bCs/>
          <w:color w:val="000000"/>
          <w:kern w:val="28"/>
          <w:sz w:val="24"/>
          <w:szCs w:val="24"/>
        </w:rPr>
      </w:pPr>
      <w:r>
        <w:rPr>
          <w:rFonts w:hint="eastAsia" w:ascii="宋体" w:hAnsi="宋体"/>
          <w:b/>
          <w:bCs/>
          <w:color w:val="000000"/>
          <w:kern w:val="28"/>
          <w:sz w:val="24"/>
          <w:szCs w:val="24"/>
        </w:rPr>
        <w:t>一、简答题</w:t>
      </w:r>
    </w:p>
    <w:p w14:paraId="2B0DF094">
      <w:pPr>
        <w:spacing w:line="360" w:lineRule="auto"/>
        <w:ind w:firstLine="480" w:firstLineChars="200"/>
        <w:rPr>
          <w:sz w:val="24"/>
          <w:szCs w:val="24"/>
        </w:rPr>
      </w:pPr>
      <w:r>
        <w:rPr>
          <w:rFonts w:hint="eastAsia"/>
          <w:sz w:val="24"/>
          <w:szCs w:val="24"/>
        </w:rPr>
        <w:t>请简述新贸易理论和传统贸易理论的联系和区别。（10分）</w:t>
      </w:r>
    </w:p>
    <w:p w14:paraId="5CAFF350">
      <w:pPr>
        <w:spacing w:before="240" w:after="60" w:line="312" w:lineRule="auto"/>
        <w:jc w:val="left"/>
        <w:outlineLvl w:val="1"/>
        <w:rPr>
          <w:rFonts w:ascii="宋体" w:hAnsi="宋体"/>
          <w:b/>
          <w:bCs/>
          <w:color w:val="000000"/>
          <w:kern w:val="28"/>
          <w:sz w:val="24"/>
          <w:szCs w:val="24"/>
        </w:rPr>
      </w:pPr>
      <w:r>
        <w:rPr>
          <w:rFonts w:hint="eastAsia" w:ascii="宋体" w:hAnsi="宋体"/>
          <w:b/>
          <w:bCs/>
          <w:color w:val="000000"/>
          <w:kern w:val="28"/>
          <w:sz w:val="24"/>
          <w:szCs w:val="24"/>
        </w:rPr>
        <w:t>二、论述题</w:t>
      </w:r>
    </w:p>
    <w:p w14:paraId="50D31BF5">
      <w:pPr>
        <w:spacing w:line="360" w:lineRule="auto"/>
        <w:ind w:firstLine="480" w:firstLineChars="200"/>
        <w:rPr>
          <w:sz w:val="24"/>
          <w:szCs w:val="24"/>
        </w:rPr>
      </w:pPr>
      <w:r>
        <w:rPr>
          <w:rFonts w:hint="eastAsia"/>
          <w:sz w:val="24"/>
          <w:szCs w:val="24"/>
        </w:rPr>
        <w:t>请结合中国经济运行实际情况，论述对外贸易对经济增长的影响。（20分）</w:t>
      </w:r>
    </w:p>
    <w:p w14:paraId="5941F207">
      <w:pPr>
        <w:spacing w:before="240" w:after="60" w:line="312" w:lineRule="auto"/>
        <w:jc w:val="left"/>
        <w:outlineLvl w:val="1"/>
        <w:rPr>
          <w:rFonts w:ascii="宋体" w:hAnsi="宋体"/>
          <w:b/>
          <w:bCs/>
          <w:color w:val="000000"/>
          <w:kern w:val="28"/>
          <w:sz w:val="24"/>
          <w:szCs w:val="24"/>
        </w:rPr>
      </w:pPr>
      <w:r>
        <w:rPr>
          <w:rFonts w:hint="eastAsia" w:ascii="宋体" w:hAnsi="宋体"/>
          <w:b/>
          <w:bCs/>
          <w:color w:val="000000"/>
          <w:kern w:val="28"/>
          <w:sz w:val="24"/>
          <w:szCs w:val="24"/>
        </w:rPr>
        <w:t>三、案例题</w:t>
      </w:r>
    </w:p>
    <w:p w14:paraId="5026D8FC">
      <w:pPr>
        <w:spacing w:line="360" w:lineRule="auto"/>
        <w:ind w:firstLine="480" w:firstLineChars="200"/>
        <w:rPr>
          <w:sz w:val="24"/>
          <w:szCs w:val="24"/>
        </w:rPr>
      </w:pPr>
      <w:r>
        <w:rPr>
          <w:rFonts w:hint="eastAsia"/>
          <w:sz w:val="24"/>
          <w:szCs w:val="24"/>
        </w:rPr>
        <w:t>请阅读以下材料，并回答问题。</w:t>
      </w:r>
    </w:p>
    <w:p w14:paraId="4573753D">
      <w:pPr>
        <w:spacing w:line="360" w:lineRule="auto"/>
        <w:ind w:firstLine="480" w:firstLineChars="200"/>
        <w:rPr>
          <w:sz w:val="24"/>
          <w:szCs w:val="24"/>
        </w:rPr>
      </w:pPr>
      <w:r>
        <w:rPr>
          <w:rFonts w:hint="eastAsia"/>
          <w:sz w:val="24"/>
          <w:szCs w:val="24"/>
        </w:rPr>
        <w:t>【案例材料】全球供应链重构趋势与中企对策---</w:t>
      </w:r>
    </w:p>
    <w:p w14:paraId="51F7EF14">
      <w:pPr>
        <w:spacing w:line="360" w:lineRule="auto"/>
        <w:ind w:firstLine="480" w:firstLineChars="200"/>
        <w:rPr>
          <w:sz w:val="24"/>
          <w:szCs w:val="24"/>
        </w:rPr>
      </w:pPr>
      <w:r>
        <w:rPr>
          <w:rFonts w:hint="eastAsia"/>
          <w:sz w:val="24"/>
          <w:szCs w:val="24"/>
        </w:rPr>
        <w:t>20世纪80年代至2009年金融危机之前，技术进步、交通运输成本的下降、世界范围内相对宽松的贸易投资环境为经济全球化和国际分工深化提供了有利条件，由跨国公司主导的基于各国比较优势与成本级差的离岸外包成为国际生产活动的主流方式，带动了国际贸易向产品内分工发展，不同国家的企业承担了国际分工的某个或某几个生产环节，外延式全球供应链分工成为世界经济的显著特征。</w:t>
      </w:r>
    </w:p>
    <w:p w14:paraId="12185333">
      <w:pPr>
        <w:spacing w:line="360" w:lineRule="auto"/>
        <w:ind w:firstLine="480" w:firstLineChars="200"/>
        <w:rPr>
          <w:sz w:val="24"/>
          <w:szCs w:val="24"/>
        </w:rPr>
      </w:pPr>
      <w:r>
        <w:rPr>
          <w:rFonts w:hint="eastAsia"/>
          <w:sz w:val="24"/>
          <w:szCs w:val="24"/>
        </w:rPr>
        <w:t>金融危机后，全球供应链外延式扩张放缓, 全球供应链由经济效率优先转向安全、韧性优先，供应链条逐渐缩短，呈现本土化和区域化的发展趋势。</w:t>
      </w:r>
    </w:p>
    <w:p w14:paraId="5A52695D">
      <w:pPr>
        <w:spacing w:line="360" w:lineRule="auto"/>
        <w:ind w:firstLine="480" w:firstLineChars="200"/>
        <w:rPr>
          <w:sz w:val="24"/>
          <w:szCs w:val="24"/>
        </w:rPr>
      </w:pPr>
      <w:r>
        <w:rPr>
          <w:rFonts w:hint="eastAsia"/>
          <w:sz w:val="24"/>
          <w:szCs w:val="24"/>
        </w:rPr>
        <w:t>【案例问题】</w:t>
      </w:r>
      <w:r>
        <w:rPr>
          <w:sz w:val="24"/>
          <w:szCs w:val="24"/>
        </w:rPr>
        <w:t>​</w:t>
      </w:r>
    </w:p>
    <w:p w14:paraId="089E6E67">
      <w:pPr>
        <w:numPr>
          <w:ilvl w:val="0"/>
          <w:numId w:val="1"/>
        </w:numPr>
        <w:spacing w:line="360" w:lineRule="auto"/>
        <w:ind w:firstLine="480" w:firstLineChars="200"/>
        <w:rPr>
          <w:sz w:val="24"/>
          <w:szCs w:val="24"/>
        </w:rPr>
      </w:pPr>
      <w:r>
        <w:rPr>
          <w:rFonts w:hint="eastAsia"/>
          <w:sz w:val="24"/>
          <w:szCs w:val="24"/>
        </w:rPr>
        <w:t>试结合相关理论分析全球供应链重构的原因及其特征（10分）。</w:t>
      </w:r>
    </w:p>
    <w:p w14:paraId="3D3F56BA">
      <w:pPr>
        <w:spacing w:line="360" w:lineRule="auto"/>
        <w:ind w:firstLine="480" w:firstLineChars="200"/>
        <w:rPr>
          <w:sz w:val="24"/>
          <w:szCs w:val="24"/>
        </w:rPr>
      </w:pPr>
      <w:r>
        <w:rPr>
          <w:rFonts w:hint="eastAsia"/>
          <w:sz w:val="24"/>
          <w:szCs w:val="24"/>
        </w:rPr>
        <w:t>2、试分析全球供应链重构对中国企业的影响及中国企业的对策（10分）。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005047"/>
    </w:sdtPr>
    <w:sdtContent>
      <w:sdt>
        <w:sdtPr>
          <w:id w:val="-1705238520"/>
        </w:sdtPr>
        <w:sdtContent>
          <w:p w14:paraId="41DF7EB4">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7363E"/>
    <w:multiLevelType w:val="singleLevel"/>
    <w:tmpl w:val="219736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LA0NTYxMzMxNzE1NDVT0lEKTi0uzszPAykwrAUAVEtuzCwAAAA="/>
  </w:docVars>
  <w:rsids>
    <w:rsidRoot w:val="00B177D8"/>
    <w:rsid w:val="00005918"/>
    <w:rsid w:val="00010EEF"/>
    <w:rsid w:val="00027D4E"/>
    <w:rsid w:val="00076D47"/>
    <w:rsid w:val="000C454F"/>
    <w:rsid w:val="000C4B02"/>
    <w:rsid w:val="000C5AF3"/>
    <w:rsid w:val="000D3831"/>
    <w:rsid w:val="000D49F5"/>
    <w:rsid w:val="000E2BC2"/>
    <w:rsid w:val="0013464E"/>
    <w:rsid w:val="00174278"/>
    <w:rsid w:val="00224118"/>
    <w:rsid w:val="00292B78"/>
    <w:rsid w:val="002C7305"/>
    <w:rsid w:val="002F2C7D"/>
    <w:rsid w:val="002F443A"/>
    <w:rsid w:val="00343C2F"/>
    <w:rsid w:val="004002AD"/>
    <w:rsid w:val="00457261"/>
    <w:rsid w:val="0049506A"/>
    <w:rsid w:val="004A1E9A"/>
    <w:rsid w:val="004C298F"/>
    <w:rsid w:val="004E6F16"/>
    <w:rsid w:val="0050296F"/>
    <w:rsid w:val="00580254"/>
    <w:rsid w:val="005C1FDA"/>
    <w:rsid w:val="0060586F"/>
    <w:rsid w:val="00637A12"/>
    <w:rsid w:val="006638B2"/>
    <w:rsid w:val="00677E98"/>
    <w:rsid w:val="007B0C3F"/>
    <w:rsid w:val="007B68AE"/>
    <w:rsid w:val="007C42F1"/>
    <w:rsid w:val="00861696"/>
    <w:rsid w:val="008A1C03"/>
    <w:rsid w:val="0095596E"/>
    <w:rsid w:val="0096093B"/>
    <w:rsid w:val="00982AF6"/>
    <w:rsid w:val="009C215A"/>
    <w:rsid w:val="00A26373"/>
    <w:rsid w:val="00A35356"/>
    <w:rsid w:val="00A35BAD"/>
    <w:rsid w:val="00A725D1"/>
    <w:rsid w:val="00A745D6"/>
    <w:rsid w:val="00A779EE"/>
    <w:rsid w:val="00AD3B71"/>
    <w:rsid w:val="00B177D8"/>
    <w:rsid w:val="00B20F9C"/>
    <w:rsid w:val="00B223D1"/>
    <w:rsid w:val="00B27232"/>
    <w:rsid w:val="00B341B0"/>
    <w:rsid w:val="00B54EA7"/>
    <w:rsid w:val="00B60FF0"/>
    <w:rsid w:val="00BB6203"/>
    <w:rsid w:val="00BC310F"/>
    <w:rsid w:val="00BD6604"/>
    <w:rsid w:val="00BE782D"/>
    <w:rsid w:val="00C364DE"/>
    <w:rsid w:val="00C53D59"/>
    <w:rsid w:val="00C8501D"/>
    <w:rsid w:val="00C9427F"/>
    <w:rsid w:val="00CB0B0A"/>
    <w:rsid w:val="00CC77CD"/>
    <w:rsid w:val="00D30E61"/>
    <w:rsid w:val="00D44C73"/>
    <w:rsid w:val="00D734A4"/>
    <w:rsid w:val="00DF0443"/>
    <w:rsid w:val="00E01DFB"/>
    <w:rsid w:val="00E658AE"/>
    <w:rsid w:val="00F66A6B"/>
    <w:rsid w:val="00F821D4"/>
    <w:rsid w:val="00FA2806"/>
    <w:rsid w:val="00FD3451"/>
    <w:rsid w:val="00FD4E20"/>
    <w:rsid w:val="08F44E0E"/>
    <w:rsid w:val="167C182F"/>
    <w:rsid w:val="16C377D3"/>
    <w:rsid w:val="191B2E5C"/>
    <w:rsid w:val="1F1F2608"/>
    <w:rsid w:val="267829B3"/>
    <w:rsid w:val="2A027E45"/>
    <w:rsid w:val="3A873286"/>
    <w:rsid w:val="3F214472"/>
    <w:rsid w:val="45030EB5"/>
    <w:rsid w:val="684F3C7A"/>
    <w:rsid w:val="784E646D"/>
    <w:rsid w:val="7880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9"/>
    <w:qFormat/>
    <w:uiPriority w:val="11"/>
    <w:pPr>
      <w:spacing w:before="240" w:after="60" w:line="312" w:lineRule="auto"/>
      <w:jc w:val="center"/>
      <w:outlineLvl w:val="1"/>
    </w:pPr>
    <w:rPr>
      <w:rFonts w:ascii="等线" w:hAnsi="等线" w:eastAsia="等线"/>
      <w:b/>
      <w:bCs/>
      <w:kern w:val="28"/>
      <w:sz w:val="32"/>
      <w:szCs w:val="32"/>
    </w:rPr>
  </w:style>
  <w:style w:type="paragraph" w:styleId="5">
    <w:name w:val="Title"/>
    <w:basedOn w:val="1"/>
    <w:next w:val="1"/>
    <w:link w:val="10"/>
    <w:qFormat/>
    <w:uiPriority w:val="10"/>
    <w:pPr>
      <w:spacing w:before="240" w:after="60"/>
      <w:jc w:val="center"/>
      <w:outlineLvl w:val="0"/>
    </w:pPr>
    <w:rPr>
      <w:rFonts w:ascii="等线 Light" w:hAnsi="等线 Light" w:eastAsia="等线 Light"/>
      <w:b/>
      <w:bCs/>
      <w:sz w:val="32"/>
      <w:szCs w:val="32"/>
    </w:rPr>
  </w:style>
  <w:style w:type="character" w:styleId="8">
    <w:name w:val="Hyperlink"/>
    <w:basedOn w:val="7"/>
    <w:semiHidden/>
    <w:unhideWhenUsed/>
    <w:qFormat/>
    <w:uiPriority w:val="0"/>
    <w:rPr>
      <w:color w:val="0000FF"/>
      <w:u w:val="single"/>
    </w:rPr>
  </w:style>
  <w:style w:type="character" w:customStyle="1" w:styleId="9">
    <w:name w:val="副标题 字符"/>
    <w:basedOn w:val="7"/>
    <w:link w:val="4"/>
    <w:qFormat/>
    <w:uiPriority w:val="11"/>
    <w:rPr>
      <w:rFonts w:ascii="等线" w:hAnsi="等线" w:eastAsia="等线"/>
      <w:b/>
      <w:bCs/>
      <w:kern w:val="28"/>
      <w:sz w:val="32"/>
      <w:szCs w:val="32"/>
    </w:rPr>
  </w:style>
  <w:style w:type="character" w:customStyle="1" w:styleId="10">
    <w:name w:val="标题 字符"/>
    <w:basedOn w:val="7"/>
    <w:link w:val="5"/>
    <w:qFormat/>
    <w:uiPriority w:val="10"/>
    <w:rPr>
      <w:rFonts w:ascii="等线 Light" w:hAnsi="等线 Light" w:eastAsia="等线 Light"/>
      <w:b/>
      <w:bCs/>
      <w:sz w:val="32"/>
      <w:szCs w:val="32"/>
    </w:rPr>
  </w:style>
  <w:style w:type="paragraph" w:styleId="11">
    <w:name w:val="List Paragraph"/>
    <w:basedOn w:val="1"/>
    <w:qFormat/>
    <w:uiPriority w:val="34"/>
    <w:pPr>
      <w:ind w:firstLine="420" w:firstLineChars="200"/>
    </w:pPr>
  </w:style>
  <w:style w:type="character" w:customStyle="1" w:styleId="12">
    <w:name w:val="页眉 字符"/>
    <w:basedOn w:val="7"/>
    <w:link w:val="3"/>
    <w:qFormat/>
    <w:uiPriority w:val="99"/>
    <w:rPr>
      <w:sz w:val="18"/>
      <w:szCs w:val="18"/>
    </w:rPr>
  </w:style>
  <w:style w:type="character" w:customStyle="1" w:styleId="13">
    <w:name w:val="页脚 字符"/>
    <w:basedOn w:val="7"/>
    <w:link w:val="2"/>
    <w:qFormat/>
    <w:uiPriority w:val="99"/>
    <w:rPr>
      <w:sz w:val="18"/>
      <w:szCs w:val="18"/>
    </w:rPr>
  </w:style>
  <w:style w:type="paragraph" w:customStyle="1" w:styleId="14">
    <w:name w:val="修订1"/>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1571</Words>
  <Characters>1642</Characters>
  <Lines>12</Lines>
  <Paragraphs>3</Paragraphs>
  <TotalTime>47</TotalTime>
  <ScaleCrop>false</ScaleCrop>
  <LinksUpToDate>false</LinksUpToDate>
  <CharactersWithSpaces>1648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2020-09-09T07:48:00Z</dcterms:created>
  <dc:creator>DU Wencui</dc:creator>
  <cp:lastModifiedBy>郎丽华</cp:lastModifiedBy>
  <dcterms:modified xsi:type="dcterms:W3CDTF">2026-01-05T05:31:48Z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EE0A61044DC6499C99B9492CC865BA3B_13</vt:lpwstr>
  </property>
  <property fmtid="{D5CDD505-2E9C-101B-9397-08002B2CF9AE}" pid="4" name="KSOTemplateDocerSaveRecord">
    <vt:lpwstr>eyJoZGlkIjoiYWYwNWM2OGNhMmEzZGUwZjNiOTM5M2EwYTRlZTZmYjAiLCJ1c2VySWQiOiI0NDc4NzI3NjEifQ==</vt:lpwstr>
  </property>
</Properties>
</file>