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1F" w:rsidRDefault="006B2B58">
      <w:pPr>
        <w:widowControl/>
        <w:spacing w:line="560" w:lineRule="exact"/>
        <w:jc w:val="center"/>
        <w:rPr>
          <w:rFonts w:ascii="宋体" w:hAnsi="宋体" w:cs="宋体"/>
          <w:b/>
          <w:kern w:val="0"/>
          <w:sz w:val="36"/>
          <w:szCs w:val="32"/>
        </w:rPr>
      </w:pPr>
      <w:r>
        <w:rPr>
          <w:rFonts w:ascii="宋体" w:hAnsi="宋体" w:cs="宋体" w:hint="eastAsia"/>
          <w:b/>
          <w:kern w:val="0"/>
          <w:sz w:val="36"/>
          <w:szCs w:val="32"/>
        </w:rPr>
        <w:t>首都经济贸易大学</w:t>
      </w:r>
    </w:p>
    <w:p w:rsidR="0067691F" w:rsidRDefault="006B2B58">
      <w:pPr>
        <w:widowControl/>
        <w:spacing w:line="560" w:lineRule="exact"/>
        <w:jc w:val="center"/>
        <w:rPr>
          <w:rFonts w:ascii="宋体" w:hAnsi="宋体" w:cs="宋体"/>
          <w:b/>
          <w:kern w:val="0"/>
          <w:sz w:val="36"/>
          <w:szCs w:val="32"/>
        </w:rPr>
      </w:pPr>
      <w:r>
        <w:rPr>
          <w:rFonts w:ascii="宋体" w:hAnsi="宋体" w:cs="宋体" w:hint="eastAsia"/>
          <w:b/>
          <w:kern w:val="0"/>
          <w:sz w:val="36"/>
          <w:szCs w:val="32"/>
        </w:rPr>
        <w:t>研究生指导教师2019年度考核及2021年度招生资格审核工作细则</w:t>
      </w:r>
    </w:p>
    <w:p w:rsidR="0067691F" w:rsidRDefault="006B2B58">
      <w:pPr>
        <w:pStyle w:val="1"/>
        <w:spacing w:line="560" w:lineRule="exact"/>
        <w:ind w:firstLineChars="200" w:firstLine="560"/>
        <w:rPr>
          <w:rFonts w:ascii="仿宋" w:eastAsia="仿宋" w:hAnsi="仿宋"/>
          <w:b w:val="0"/>
          <w:bCs w:val="0"/>
          <w:kern w:val="0"/>
          <w:sz w:val="28"/>
          <w:szCs w:val="28"/>
        </w:rPr>
      </w:pPr>
      <w:r>
        <w:rPr>
          <w:rFonts w:ascii="仿宋" w:eastAsia="仿宋" w:hAnsi="仿宋" w:hint="eastAsia"/>
          <w:b w:val="0"/>
          <w:bCs w:val="0"/>
          <w:kern w:val="0"/>
          <w:sz w:val="28"/>
          <w:szCs w:val="28"/>
        </w:rPr>
        <w:t>按照《首都经济贸易大学研究生指导教师工作条例》和《</w:t>
      </w:r>
      <w:r>
        <w:rPr>
          <w:rFonts w:ascii="仿宋" w:eastAsia="仿宋" w:hAnsi="仿宋"/>
          <w:b w:val="0"/>
          <w:bCs w:val="0"/>
          <w:kern w:val="0"/>
          <w:sz w:val="28"/>
          <w:szCs w:val="28"/>
        </w:rPr>
        <w:t>首都经济贸易大学研究生招生工作条例</w:t>
      </w:r>
      <w:r>
        <w:rPr>
          <w:rFonts w:ascii="仿宋" w:eastAsia="仿宋" w:hAnsi="仿宋" w:hint="eastAsia"/>
          <w:b w:val="0"/>
          <w:bCs w:val="0"/>
          <w:kern w:val="0"/>
          <w:sz w:val="28"/>
          <w:szCs w:val="28"/>
        </w:rPr>
        <w:t>》要求，为做好研究生指导教师2019年度考核和2021年度招生资格审核工作，特制定本工作细则。</w:t>
      </w:r>
    </w:p>
    <w:p w:rsidR="0067691F" w:rsidRDefault="006B2B58">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考核及招生资格审核对象</w:t>
      </w:r>
    </w:p>
    <w:p w:rsidR="0067691F" w:rsidRDefault="006B2B58">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所有校内在编在岗的研究生导师均应参加考核及招生资格审核工作。</w:t>
      </w:r>
    </w:p>
    <w:p w:rsidR="0067691F" w:rsidRDefault="006B2B58">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校外兼职研究生导师由学院参照本细则组织考核。</w:t>
      </w:r>
    </w:p>
    <w:p w:rsidR="0067691F" w:rsidRDefault="006B2B58">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在多个学院招生和指导研究生的导师须参加所有相关学院的考核和招生资格审核。</w:t>
      </w:r>
    </w:p>
    <w:p w:rsidR="0067691F" w:rsidRDefault="006B2B58">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考核及招生资格审核程序</w:t>
      </w:r>
    </w:p>
    <w:p w:rsidR="0067691F" w:rsidRDefault="006B2B58">
      <w:pPr>
        <w:widowControl/>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（一）导师个人填表</w:t>
      </w:r>
    </w:p>
    <w:p w:rsidR="0067691F" w:rsidRDefault="006B2B58">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校内研究生导师填写《研究生指导教师考核及招生资格审核表》（附件2），同时将</w:t>
      </w:r>
      <w:r w:rsidR="003A1D14">
        <w:rPr>
          <w:rFonts w:ascii="仿宋" w:eastAsia="仿宋" w:hAnsi="仿宋" w:cs="宋体" w:hint="eastAsia"/>
          <w:kern w:val="0"/>
          <w:sz w:val="28"/>
          <w:szCs w:val="28"/>
        </w:rPr>
        <w:t>自行</w:t>
      </w:r>
      <w:bookmarkStart w:id="0" w:name="_GoBack"/>
      <w:bookmarkEnd w:id="0"/>
      <w:r w:rsidR="003A1D14">
        <w:rPr>
          <w:rFonts w:ascii="仿宋" w:eastAsia="仿宋" w:hAnsi="仿宋" w:cs="宋体" w:hint="eastAsia"/>
          <w:kern w:val="0"/>
          <w:sz w:val="28"/>
          <w:szCs w:val="28"/>
        </w:rPr>
        <w:t>从</w:t>
      </w:r>
      <w:r>
        <w:rPr>
          <w:rFonts w:ascii="仿宋" w:eastAsia="仿宋" w:hAnsi="仿宋" w:cs="宋体" w:hint="eastAsia"/>
          <w:kern w:val="0"/>
          <w:sz w:val="28"/>
          <w:szCs w:val="28"/>
        </w:rPr>
        <w:t>科研处系统</w:t>
      </w:r>
      <w:r w:rsidR="003A1D14">
        <w:rPr>
          <w:rFonts w:ascii="仿宋" w:eastAsia="仿宋" w:hAnsi="仿宋" w:cs="宋体" w:hint="eastAsia"/>
          <w:kern w:val="0"/>
          <w:sz w:val="28"/>
          <w:szCs w:val="28"/>
        </w:rPr>
        <w:t>中打印的</w:t>
      </w:r>
      <w:r>
        <w:rPr>
          <w:rFonts w:ascii="仿宋" w:eastAsia="仿宋" w:hAnsi="仿宋" w:cs="宋体" w:hint="eastAsia"/>
          <w:kern w:val="0"/>
          <w:sz w:val="28"/>
          <w:szCs w:val="28"/>
        </w:rPr>
        <w:t>本人2017年01月01日至2019年12月31日的科研项目和成果清单在《考核及招生资格审核表》后，提交到研究生培养学院汇总。校外兼职导师应填写和提交《首都经济贸易大学校外兼职导师考核备案表》（附件3）。</w:t>
      </w:r>
    </w:p>
    <w:p w:rsidR="0067691F" w:rsidRDefault="006B2B58">
      <w:pPr>
        <w:widowControl/>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（二）学院组织审核</w:t>
      </w:r>
    </w:p>
    <w:p w:rsidR="0067691F" w:rsidRDefault="006B2B58">
      <w:pPr>
        <w:widowControl/>
        <w:spacing w:line="560" w:lineRule="exact"/>
        <w:ind w:firstLineChars="200" w:firstLine="560"/>
        <w:rPr>
          <w:rFonts w:ascii="仿宋" w:eastAsia="仿宋" w:hAnsi="仿宋" w:cs="宋体"/>
          <w:kern w:val="0"/>
          <w:sz w:val="28"/>
          <w:szCs w:val="28"/>
        </w:rPr>
      </w:pPr>
      <w:r>
        <w:rPr>
          <w:rFonts w:ascii="仿宋" w:eastAsia="仿宋" w:hAnsi="仿宋" w:cs="宋体"/>
          <w:kern w:val="0"/>
          <w:sz w:val="28"/>
          <w:szCs w:val="28"/>
        </w:rPr>
        <w:t>学院</w:t>
      </w:r>
      <w:r>
        <w:rPr>
          <w:rFonts w:ascii="仿宋" w:eastAsia="仿宋" w:hAnsi="仿宋" w:cs="宋体" w:hint="eastAsia"/>
          <w:kern w:val="0"/>
          <w:sz w:val="28"/>
          <w:szCs w:val="28"/>
        </w:rPr>
        <w:t>应召开</w:t>
      </w:r>
      <w:r>
        <w:rPr>
          <w:rFonts w:ascii="仿宋" w:eastAsia="仿宋" w:hAnsi="仿宋" w:cs="宋体"/>
          <w:kern w:val="0"/>
          <w:sz w:val="28"/>
          <w:szCs w:val="28"/>
        </w:rPr>
        <w:t>学位评定分委员会</w:t>
      </w:r>
      <w:r>
        <w:rPr>
          <w:rFonts w:ascii="仿宋" w:eastAsia="仿宋" w:hAnsi="仿宋" w:cs="宋体" w:hint="eastAsia"/>
          <w:kern w:val="0"/>
          <w:sz w:val="28"/>
          <w:szCs w:val="28"/>
        </w:rPr>
        <w:t>与</w:t>
      </w:r>
      <w:r>
        <w:rPr>
          <w:rFonts w:ascii="仿宋" w:eastAsia="仿宋" w:hAnsi="仿宋" w:cs="宋体"/>
          <w:kern w:val="0"/>
          <w:sz w:val="28"/>
          <w:szCs w:val="28"/>
        </w:rPr>
        <w:t>招生领导小组</w:t>
      </w:r>
      <w:r>
        <w:rPr>
          <w:rFonts w:ascii="仿宋" w:eastAsia="仿宋" w:hAnsi="仿宋" w:cs="宋体" w:hint="eastAsia"/>
          <w:kern w:val="0"/>
          <w:sz w:val="28"/>
          <w:szCs w:val="28"/>
        </w:rPr>
        <w:t>联席会议，逐一审核2019年度导师立德树人</w:t>
      </w:r>
      <w:r>
        <w:rPr>
          <w:rFonts w:ascii="仿宋" w:eastAsia="仿宋" w:hAnsi="仿宋" w:cs="宋体"/>
          <w:kern w:val="0"/>
          <w:sz w:val="28"/>
          <w:szCs w:val="28"/>
        </w:rPr>
        <w:t>情况、</w:t>
      </w:r>
      <w:r>
        <w:rPr>
          <w:rFonts w:ascii="仿宋" w:eastAsia="仿宋" w:hAnsi="仿宋" w:cs="宋体" w:hint="eastAsia"/>
          <w:kern w:val="0"/>
          <w:sz w:val="28"/>
          <w:szCs w:val="28"/>
        </w:rPr>
        <w:t>导师履职情况以及2021年度的招生</w:t>
      </w:r>
      <w:r>
        <w:rPr>
          <w:rFonts w:ascii="仿宋" w:eastAsia="仿宋" w:hAnsi="仿宋" w:cs="宋体" w:hint="eastAsia"/>
          <w:kern w:val="0"/>
          <w:sz w:val="28"/>
          <w:szCs w:val="28"/>
        </w:rPr>
        <w:lastRenderedPageBreak/>
        <w:t>资格，并在相应表格中签署考核结果及招生资格审核意见。会议还应按不超过导师总数10%的比例评选出2019年度优秀研究生指导教师。</w:t>
      </w:r>
    </w:p>
    <w:p w:rsidR="0067691F" w:rsidRDefault="006B2B58">
      <w:pPr>
        <w:widowControl/>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（三）研究生院备案</w:t>
      </w:r>
    </w:p>
    <w:p w:rsidR="0067691F" w:rsidRDefault="006B2B58">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学院认真填写《导师考核汇总表》（附件4）、《校外兼职导师考核汇总表》（附件5）和《2021年招生导师名单》（附件6）</w:t>
      </w:r>
      <w:r>
        <w:rPr>
          <w:rFonts w:ascii="仿宋" w:eastAsia="仿宋" w:hAnsi="仿宋" w:cs="宋体"/>
          <w:kern w:val="0"/>
          <w:sz w:val="28"/>
          <w:szCs w:val="28"/>
        </w:rPr>
        <w:t>报研究生部备案。</w:t>
      </w:r>
      <w:r>
        <w:rPr>
          <w:rFonts w:ascii="仿宋" w:eastAsia="仿宋" w:hAnsi="仿宋" w:cs="宋体" w:hint="eastAsia"/>
          <w:kern w:val="0"/>
          <w:sz w:val="28"/>
          <w:szCs w:val="28"/>
        </w:rPr>
        <w:t>《研究生指导教师考核及招生资格审核表》（附件2）和《首都经济贸易大学校外兼职导师考核备案表》（附件3）由学院负责存档备查。</w:t>
      </w:r>
    </w:p>
    <w:p w:rsidR="0067691F" w:rsidRDefault="006B2B58">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考核内容与考核结果</w:t>
      </w:r>
    </w:p>
    <w:p w:rsidR="0067691F" w:rsidRDefault="006B2B58">
      <w:pPr>
        <w:widowControl/>
        <w:spacing w:line="560" w:lineRule="exact"/>
        <w:ind w:firstLineChars="200" w:firstLine="560"/>
        <w:rPr>
          <w:rFonts w:ascii="仿宋" w:eastAsia="仿宋" w:hAnsi="仿宋" w:cs="宋体"/>
          <w:kern w:val="0"/>
          <w:sz w:val="28"/>
          <w:szCs w:val="28"/>
        </w:rPr>
      </w:pPr>
      <w:r>
        <w:rPr>
          <w:rFonts w:ascii="仿宋" w:eastAsia="仿宋" w:hAnsi="仿宋" w:cs="宋体"/>
          <w:kern w:val="0"/>
          <w:sz w:val="28"/>
          <w:szCs w:val="28"/>
        </w:rPr>
        <w:t>考核导师履行岗位职责、完成岗位任务、培养质量、指导能力（含导师的学术水平或实务工作经历）等情况，考核等级分为“优秀”、“良好”、“合格”和“不合格”。</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凡有下列情况之一者，导师考核为不合格：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（一）近三年没有公开发表核心（含）以上级别学术论文 （独立或第一作者）、出版学术著作（独立或第一作者）或主持科研项目。</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（二）教师岗位年度或聘期考核不合格。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（三）不履行导师岗位职责，出现严重失职。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（四）受到警告及以上党纪政纪处分。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（五）学术或道德失范，受到戒勉、警告谈话。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（六）指导的研究生论文在学校论文抽检中，出现两篇次及以上问题论文；在教育主管部门抽检的论文中，出现一篇次问题论文。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（七）发生重大教学事故。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考核结果作为导师招生计划安排的重要依据， 考核不合格的导师将暂停招生资格一年。 因教育主管部门抽检的博士论文出现问题</w:t>
      </w:r>
      <w:r w:rsidRPr="00050686">
        <w:rPr>
          <w:rFonts w:ascii="仿宋" w:eastAsia="仿宋" w:hAnsi="仿宋" w:cs="宋体"/>
          <w:kern w:val="0"/>
          <w:sz w:val="28"/>
          <w:szCs w:val="28"/>
        </w:rPr>
        <w:lastRenderedPageBreak/>
        <w:t>导致考核不合格的导师，立即停止博士招生资格三年；因教育主管部门抽检的硕士论文出现问题导致考核不合格的导师，立即停止硕士招生 资格两年；在教育主管部门论文抽检中五年内有两篇次以上论文出现问题的导师，停止招生资格五年。</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凡有下列情况之一者，由研究生院提请学校学位评定委员会批准，撤消研究生指导教师的资格：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（一）被解除教授、副教授、讲师职称或未被聘用。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（二）受到刑事处分，无法履行导师职责。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 xml:space="preserve">（三）道德败坏或有学术不端行为。 </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（四）其他不符合导师条件的情况。</w:t>
      </w:r>
    </w:p>
    <w:p w:rsidR="00050686" w:rsidRDefault="00050686">
      <w:pPr>
        <w:spacing w:line="560" w:lineRule="exact"/>
        <w:ind w:firstLine="567"/>
        <w:rPr>
          <w:rFonts w:ascii="仿宋" w:eastAsia="仿宋" w:hAnsi="仿宋" w:cs="宋体"/>
          <w:kern w:val="0"/>
          <w:sz w:val="28"/>
          <w:szCs w:val="28"/>
        </w:rPr>
      </w:pPr>
      <w:r w:rsidRPr="00050686">
        <w:rPr>
          <w:rFonts w:ascii="仿宋" w:eastAsia="仿宋" w:hAnsi="仿宋" w:cs="宋体"/>
          <w:kern w:val="0"/>
          <w:sz w:val="28"/>
          <w:szCs w:val="28"/>
        </w:rPr>
        <w:t>撤销导师资格的教师三年内不能重新申报研究生导师资格。</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hint="eastAsia"/>
          <w:kern w:val="0"/>
          <w:sz w:val="28"/>
          <w:szCs w:val="28"/>
        </w:rPr>
        <w:t>校外兼职导师的聘期一般为四年，到期自动解聘；考核不合格做解聘处理；校外兼职导师一年内未参加学校研究生教育的实质性工作，视为自动解聘。</w:t>
      </w:r>
    </w:p>
    <w:p w:rsidR="0067691F" w:rsidRDefault="006B2B58">
      <w:pPr>
        <w:pStyle w:val="Style7"/>
        <w:widowControl/>
        <w:numPr>
          <w:ilvl w:val="0"/>
          <w:numId w:val="1"/>
        </w:numPr>
        <w:spacing w:line="560" w:lineRule="exact"/>
        <w:ind w:firstLineChars="0"/>
        <w:jc w:val="left"/>
        <w:rPr>
          <w:rFonts w:ascii="仿宋" w:eastAsia="仿宋" w:hAnsi="仿宋" w:cs="宋体"/>
          <w:kern w:val="0"/>
          <w:sz w:val="28"/>
          <w:szCs w:val="28"/>
        </w:rPr>
      </w:pPr>
      <w:r>
        <w:rPr>
          <w:rFonts w:ascii="仿宋" w:eastAsia="仿宋" w:hAnsi="仿宋" w:cs="宋体" w:hint="eastAsia"/>
          <w:kern w:val="0"/>
          <w:sz w:val="28"/>
          <w:szCs w:val="28"/>
        </w:rPr>
        <w:t>招生资格审核</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导师招生资格的审核应达到以下基本要求：</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（一）上一年度导师考核合格；</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（二）在岗在编；</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（三）符合招生年龄规定：硕士研究生导师不超过57岁，博士研究生导师不超过62岁（以6月30日为计算年龄的截止时间）</w:t>
      </w:r>
      <w:r>
        <w:rPr>
          <w:rFonts w:ascii="仿宋" w:eastAsia="仿宋" w:hAnsi="仿宋" w:cs="宋体" w:hint="eastAsia"/>
          <w:kern w:val="0"/>
          <w:sz w:val="28"/>
          <w:szCs w:val="28"/>
        </w:rPr>
        <w:t>；已超龄但现任重要政府和学术兼职的博士研究生导师，由校长办公会逐一审核，决定是否同意其继续招生。</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（四）具有培养条件。学院应按学科和专业培养要求，制定导师培养条件的最低学术标准。</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lastRenderedPageBreak/>
        <w:t>（五）学院规定的其他要求。</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一名导师同期原则上只能跨两个专业或两个专业方向</w:t>
      </w:r>
      <w:r>
        <w:rPr>
          <w:rFonts w:ascii="仿宋" w:eastAsia="仿宋" w:hAnsi="仿宋" w:cs="宋体" w:hint="eastAsia"/>
          <w:kern w:val="0"/>
          <w:sz w:val="28"/>
          <w:szCs w:val="28"/>
        </w:rPr>
        <w:t>（不含专业学位）</w:t>
      </w:r>
      <w:r>
        <w:rPr>
          <w:rFonts w:ascii="仿宋" w:eastAsia="仿宋" w:hAnsi="仿宋" w:cs="宋体"/>
          <w:kern w:val="0"/>
          <w:sz w:val="28"/>
          <w:szCs w:val="28"/>
        </w:rPr>
        <w:t>招收博士生或硕士生。</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hint="eastAsia"/>
          <w:kern w:val="0"/>
          <w:sz w:val="28"/>
          <w:szCs w:val="28"/>
        </w:rPr>
        <w:t>本人因其他原因希望停止招生的，须向学院招生领导小组提出书面申请。</w:t>
      </w:r>
    </w:p>
    <w:p w:rsidR="0067691F" w:rsidRDefault="006B2B58">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校外兼职导师原则上不独立招收研究生，可作为双导师制中校外导师或参加导师指导小组协助指导研究生，并参与学校研究生教育的其他工作。</w:t>
      </w:r>
    </w:p>
    <w:p w:rsidR="0067691F" w:rsidRDefault="006B2B58">
      <w:pPr>
        <w:pStyle w:val="Style7"/>
        <w:widowControl/>
        <w:numPr>
          <w:ilvl w:val="0"/>
          <w:numId w:val="1"/>
        </w:numPr>
        <w:spacing w:line="560" w:lineRule="exact"/>
        <w:ind w:left="0" w:firstLine="560"/>
        <w:jc w:val="left"/>
        <w:rPr>
          <w:rFonts w:ascii="仿宋" w:eastAsia="仿宋" w:hAnsi="仿宋" w:cs="宋体"/>
          <w:kern w:val="0"/>
          <w:sz w:val="28"/>
          <w:szCs w:val="28"/>
        </w:rPr>
      </w:pPr>
      <w:r>
        <w:rPr>
          <w:rFonts w:ascii="仿宋" w:eastAsia="仿宋" w:hAnsi="仿宋" w:cs="宋体" w:hint="eastAsia"/>
          <w:kern w:val="0"/>
          <w:sz w:val="28"/>
          <w:szCs w:val="28"/>
        </w:rPr>
        <w:t>其他</w:t>
      </w:r>
    </w:p>
    <w:p w:rsidR="0067691F" w:rsidRDefault="006B2B58">
      <w:pPr>
        <w:pStyle w:val="Style7"/>
        <w:widowControl/>
        <w:spacing w:line="560" w:lineRule="exact"/>
        <w:ind w:left="560" w:firstLineChars="0" w:firstLine="0"/>
        <w:jc w:val="left"/>
        <w:rPr>
          <w:rFonts w:ascii="仿宋" w:eastAsia="仿宋" w:hAnsi="仿宋" w:cs="宋体"/>
          <w:kern w:val="0"/>
          <w:sz w:val="28"/>
          <w:szCs w:val="28"/>
        </w:rPr>
      </w:pPr>
      <w:r>
        <w:rPr>
          <w:rFonts w:ascii="仿宋" w:eastAsia="仿宋" w:hAnsi="仿宋" w:cs="宋体" w:hint="eastAsia"/>
          <w:kern w:val="0"/>
          <w:sz w:val="28"/>
          <w:szCs w:val="28"/>
        </w:rPr>
        <w:t>对考核和招生资格审核有异议的，由本人书面申请，提交到学院</w:t>
      </w:r>
    </w:p>
    <w:p w:rsidR="0067691F" w:rsidRDefault="006B2B58">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或学校的相关部门, 学院或学校的相关部门根据各自的权限，对相关情况进行核实、复议，有重大异议的应以会议表决的方式进行复议。复议结果为最终结果。对违反纪律和材料作假的单位和人员，学校将予以严肃处理。</w:t>
      </w:r>
    </w:p>
    <w:p w:rsidR="0067691F" w:rsidRDefault="006B2B58">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本工作细则由研究生院负责解释。</w:t>
      </w:r>
    </w:p>
    <w:p w:rsidR="0067691F" w:rsidRDefault="0067691F">
      <w:pPr>
        <w:widowControl/>
        <w:spacing w:line="560" w:lineRule="exact"/>
        <w:ind w:left="560"/>
        <w:rPr>
          <w:rFonts w:ascii="仿宋" w:eastAsia="仿宋" w:hAnsi="仿宋" w:cs="宋体"/>
          <w:kern w:val="0"/>
          <w:sz w:val="28"/>
          <w:szCs w:val="28"/>
        </w:rPr>
      </w:pPr>
    </w:p>
    <w:p w:rsidR="0067691F" w:rsidRDefault="0067691F">
      <w:pPr>
        <w:widowControl/>
        <w:spacing w:line="560" w:lineRule="exact"/>
        <w:ind w:left="560"/>
        <w:rPr>
          <w:rFonts w:ascii="仿宋" w:eastAsia="仿宋" w:hAnsi="仿宋" w:cs="宋体"/>
          <w:kern w:val="0"/>
          <w:sz w:val="28"/>
          <w:szCs w:val="28"/>
        </w:rPr>
      </w:pPr>
    </w:p>
    <w:p w:rsidR="0067691F" w:rsidRDefault="006B2B58">
      <w:pPr>
        <w:spacing w:line="560" w:lineRule="exact"/>
        <w:ind w:right="700"/>
        <w:jc w:val="right"/>
        <w:rPr>
          <w:rFonts w:ascii="仿宋" w:eastAsia="仿宋" w:hAnsi="仿宋" w:cs="宋体"/>
          <w:kern w:val="0"/>
          <w:sz w:val="28"/>
          <w:szCs w:val="28"/>
        </w:rPr>
      </w:pPr>
      <w:r>
        <w:rPr>
          <w:rFonts w:ascii="仿宋" w:eastAsia="仿宋" w:hAnsi="仿宋" w:cs="宋体" w:hint="eastAsia"/>
          <w:kern w:val="0"/>
          <w:sz w:val="28"/>
          <w:szCs w:val="28"/>
        </w:rPr>
        <w:t xml:space="preserve">       研究生院</w:t>
      </w:r>
    </w:p>
    <w:p w:rsidR="0067691F" w:rsidRDefault="006B2B58">
      <w:pPr>
        <w:spacing w:line="560" w:lineRule="exact"/>
        <w:jc w:val="right"/>
        <w:rPr>
          <w:rFonts w:ascii="宋体" w:hAnsi="宋体" w:cs="宋体"/>
          <w:kern w:val="0"/>
          <w:sz w:val="28"/>
          <w:szCs w:val="28"/>
        </w:rPr>
      </w:pPr>
      <w:r>
        <w:rPr>
          <w:rFonts w:ascii="仿宋" w:eastAsia="仿宋" w:hAnsi="仿宋" w:cs="宋体" w:hint="eastAsia"/>
          <w:kern w:val="0"/>
          <w:sz w:val="28"/>
          <w:szCs w:val="28"/>
        </w:rPr>
        <w:t>2020年5月22日</w:t>
      </w:r>
    </w:p>
    <w:sectPr w:rsidR="0067691F">
      <w:footerReference w:type="default" r:id="rId8"/>
      <w:pgSz w:w="11906" w:h="16838"/>
      <w:pgMar w:top="1702"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12C" w:rsidRDefault="003C712C">
      <w:r>
        <w:separator/>
      </w:r>
    </w:p>
  </w:endnote>
  <w:endnote w:type="continuationSeparator" w:id="0">
    <w:p w:rsidR="003C712C" w:rsidRDefault="003C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1F" w:rsidRDefault="006B2B58">
    <w:pPr>
      <w:pStyle w:val="a5"/>
      <w:jc w:val="center"/>
    </w:pPr>
    <w:r>
      <w:fldChar w:fldCharType="begin"/>
    </w:r>
    <w:r>
      <w:instrText xml:space="preserve"> PAGE   \* MERGEFORMAT </w:instrText>
    </w:r>
    <w:r>
      <w:fldChar w:fldCharType="separate"/>
    </w:r>
    <w:r w:rsidR="003A1D14" w:rsidRPr="003A1D14">
      <w:rPr>
        <w:noProof/>
        <w:lang w:val="zh-CN"/>
      </w:rPr>
      <w:t>1</w:t>
    </w:r>
    <w:r>
      <w:rPr>
        <w:lang w:val="zh-CN"/>
      </w:rPr>
      <w:fldChar w:fldCharType="end"/>
    </w:r>
  </w:p>
  <w:p w:rsidR="0067691F" w:rsidRDefault="006769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12C" w:rsidRDefault="003C712C">
      <w:r>
        <w:separator/>
      </w:r>
    </w:p>
  </w:footnote>
  <w:footnote w:type="continuationSeparator" w:id="0">
    <w:p w:rsidR="003C712C" w:rsidRDefault="003C7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636D"/>
    <w:multiLevelType w:val="multilevel"/>
    <w:tmpl w:val="1125636D"/>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38"/>
    <w:rsid w:val="0000404E"/>
    <w:rsid w:val="00005243"/>
    <w:rsid w:val="00032B45"/>
    <w:rsid w:val="000450E2"/>
    <w:rsid w:val="0004561D"/>
    <w:rsid w:val="00047598"/>
    <w:rsid w:val="00050686"/>
    <w:rsid w:val="0006416F"/>
    <w:rsid w:val="0006600D"/>
    <w:rsid w:val="000A0EF0"/>
    <w:rsid w:val="000A0EF1"/>
    <w:rsid w:val="000A256E"/>
    <w:rsid w:val="000B33E8"/>
    <w:rsid w:val="000B67D6"/>
    <w:rsid w:val="000D7E35"/>
    <w:rsid w:val="000E6188"/>
    <w:rsid w:val="001229F0"/>
    <w:rsid w:val="00132A09"/>
    <w:rsid w:val="001438C0"/>
    <w:rsid w:val="00176655"/>
    <w:rsid w:val="001C37F1"/>
    <w:rsid w:val="001C4CFB"/>
    <w:rsid w:val="001D07AC"/>
    <w:rsid w:val="001D0D18"/>
    <w:rsid w:val="001F0787"/>
    <w:rsid w:val="001F16A4"/>
    <w:rsid w:val="00201800"/>
    <w:rsid w:val="002031BF"/>
    <w:rsid w:val="00207AF4"/>
    <w:rsid w:val="002135E2"/>
    <w:rsid w:val="00220218"/>
    <w:rsid w:val="0022071A"/>
    <w:rsid w:val="00225BB3"/>
    <w:rsid w:val="00245DA1"/>
    <w:rsid w:val="00271EBA"/>
    <w:rsid w:val="00286540"/>
    <w:rsid w:val="002951C0"/>
    <w:rsid w:val="002A0E8C"/>
    <w:rsid w:val="002A6612"/>
    <w:rsid w:val="002C09C2"/>
    <w:rsid w:val="002D10A7"/>
    <w:rsid w:val="002F0B1F"/>
    <w:rsid w:val="00342FCC"/>
    <w:rsid w:val="0036671E"/>
    <w:rsid w:val="00370053"/>
    <w:rsid w:val="00386C6D"/>
    <w:rsid w:val="00393D57"/>
    <w:rsid w:val="003A1D14"/>
    <w:rsid w:val="003A4DA7"/>
    <w:rsid w:val="003C15BD"/>
    <w:rsid w:val="003C4E9A"/>
    <w:rsid w:val="003C712C"/>
    <w:rsid w:val="003C7204"/>
    <w:rsid w:val="003D2D3F"/>
    <w:rsid w:val="003D597A"/>
    <w:rsid w:val="003D5E52"/>
    <w:rsid w:val="003D5F0E"/>
    <w:rsid w:val="003E0DB0"/>
    <w:rsid w:val="003E11AE"/>
    <w:rsid w:val="003E20EB"/>
    <w:rsid w:val="003E596D"/>
    <w:rsid w:val="003E6724"/>
    <w:rsid w:val="003F6A57"/>
    <w:rsid w:val="00413FFE"/>
    <w:rsid w:val="00426420"/>
    <w:rsid w:val="00432D48"/>
    <w:rsid w:val="00440900"/>
    <w:rsid w:val="00446A99"/>
    <w:rsid w:val="00455C91"/>
    <w:rsid w:val="00487D89"/>
    <w:rsid w:val="004A584F"/>
    <w:rsid w:val="004A72CA"/>
    <w:rsid w:val="004B0904"/>
    <w:rsid w:val="004D022F"/>
    <w:rsid w:val="004E56DE"/>
    <w:rsid w:val="004F1164"/>
    <w:rsid w:val="00505AB5"/>
    <w:rsid w:val="005126AF"/>
    <w:rsid w:val="00512BD4"/>
    <w:rsid w:val="0051410E"/>
    <w:rsid w:val="00515BB6"/>
    <w:rsid w:val="00520C45"/>
    <w:rsid w:val="00521FF2"/>
    <w:rsid w:val="00536842"/>
    <w:rsid w:val="00536E22"/>
    <w:rsid w:val="005414E5"/>
    <w:rsid w:val="00547E0D"/>
    <w:rsid w:val="005520DB"/>
    <w:rsid w:val="00583B65"/>
    <w:rsid w:val="00584FAB"/>
    <w:rsid w:val="00595B0E"/>
    <w:rsid w:val="005A66B6"/>
    <w:rsid w:val="005C54F1"/>
    <w:rsid w:val="005D2C2A"/>
    <w:rsid w:val="005D2FB7"/>
    <w:rsid w:val="005E776A"/>
    <w:rsid w:val="005F3D4E"/>
    <w:rsid w:val="006073DC"/>
    <w:rsid w:val="006074E2"/>
    <w:rsid w:val="006112E3"/>
    <w:rsid w:val="006115F8"/>
    <w:rsid w:val="00613DDA"/>
    <w:rsid w:val="00621C31"/>
    <w:rsid w:val="006248CC"/>
    <w:rsid w:val="0063475F"/>
    <w:rsid w:val="006348E5"/>
    <w:rsid w:val="0063652B"/>
    <w:rsid w:val="006464B0"/>
    <w:rsid w:val="006657D2"/>
    <w:rsid w:val="00667F12"/>
    <w:rsid w:val="0067691F"/>
    <w:rsid w:val="006A2F4D"/>
    <w:rsid w:val="006A65CE"/>
    <w:rsid w:val="006B2B58"/>
    <w:rsid w:val="006C208E"/>
    <w:rsid w:val="006D1E72"/>
    <w:rsid w:val="006D4D38"/>
    <w:rsid w:val="006F175D"/>
    <w:rsid w:val="00710B4C"/>
    <w:rsid w:val="00716CEE"/>
    <w:rsid w:val="007173D0"/>
    <w:rsid w:val="00727E4C"/>
    <w:rsid w:val="00736075"/>
    <w:rsid w:val="00742A8F"/>
    <w:rsid w:val="0075232D"/>
    <w:rsid w:val="0077178B"/>
    <w:rsid w:val="007804C0"/>
    <w:rsid w:val="007804EB"/>
    <w:rsid w:val="007825A8"/>
    <w:rsid w:val="00797E0C"/>
    <w:rsid w:val="007A5C63"/>
    <w:rsid w:val="007B5DBE"/>
    <w:rsid w:val="007C0C70"/>
    <w:rsid w:val="007D53A8"/>
    <w:rsid w:val="007E2ED8"/>
    <w:rsid w:val="007E3E65"/>
    <w:rsid w:val="007E64FC"/>
    <w:rsid w:val="007F084A"/>
    <w:rsid w:val="00837C57"/>
    <w:rsid w:val="008505CA"/>
    <w:rsid w:val="00853EE7"/>
    <w:rsid w:val="008625DA"/>
    <w:rsid w:val="00870BC8"/>
    <w:rsid w:val="0088037C"/>
    <w:rsid w:val="0089709E"/>
    <w:rsid w:val="008A076F"/>
    <w:rsid w:val="008A6F06"/>
    <w:rsid w:val="008C28A0"/>
    <w:rsid w:val="009038CA"/>
    <w:rsid w:val="00912907"/>
    <w:rsid w:val="00955F1E"/>
    <w:rsid w:val="009775C1"/>
    <w:rsid w:val="0098325E"/>
    <w:rsid w:val="0099670C"/>
    <w:rsid w:val="009A2521"/>
    <w:rsid w:val="009B4961"/>
    <w:rsid w:val="009C43E6"/>
    <w:rsid w:val="009D107C"/>
    <w:rsid w:val="009E25B2"/>
    <w:rsid w:val="009E30D5"/>
    <w:rsid w:val="009F45F6"/>
    <w:rsid w:val="00A0543B"/>
    <w:rsid w:val="00A0600B"/>
    <w:rsid w:val="00A135FE"/>
    <w:rsid w:val="00A15956"/>
    <w:rsid w:val="00A2161A"/>
    <w:rsid w:val="00A2743A"/>
    <w:rsid w:val="00A43ED1"/>
    <w:rsid w:val="00A471B0"/>
    <w:rsid w:val="00A62ABF"/>
    <w:rsid w:val="00A764B6"/>
    <w:rsid w:val="00A82C53"/>
    <w:rsid w:val="00A8379E"/>
    <w:rsid w:val="00A90088"/>
    <w:rsid w:val="00A96AF3"/>
    <w:rsid w:val="00A97BAB"/>
    <w:rsid w:val="00AA126A"/>
    <w:rsid w:val="00AB616A"/>
    <w:rsid w:val="00AC1273"/>
    <w:rsid w:val="00AC180E"/>
    <w:rsid w:val="00AE73C2"/>
    <w:rsid w:val="00AF0648"/>
    <w:rsid w:val="00AF2FBB"/>
    <w:rsid w:val="00B154C3"/>
    <w:rsid w:val="00B1551E"/>
    <w:rsid w:val="00B23F27"/>
    <w:rsid w:val="00B24096"/>
    <w:rsid w:val="00B31709"/>
    <w:rsid w:val="00B401BA"/>
    <w:rsid w:val="00B41E50"/>
    <w:rsid w:val="00B511DA"/>
    <w:rsid w:val="00B52BD8"/>
    <w:rsid w:val="00B552E0"/>
    <w:rsid w:val="00B60F95"/>
    <w:rsid w:val="00B610C7"/>
    <w:rsid w:val="00B6303A"/>
    <w:rsid w:val="00B90904"/>
    <w:rsid w:val="00BA2376"/>
    <w:rsid w:val="00BA5F4A"/>
    <w:rsid w:val="00BB21B3"/>
    <w:rsid w:val="00BB7607"/>
    <w:rsid w:val="00BC31EE"/>
    <w:rsid w:val="00BC4C6C"/>
    <w:rsid w:val="00BD5674"/>
    <w:rsid w:val="00C005AC"/>
    <w:rsid w:val="00C00E9C"/>
    <w:rsid w:val="00C03DBF"/>
    <w:rsid w:val="00C220B8"/>
    <w:rsid w:val="00C25FF6"/>
    <w:rsid w:val="00C747F4"/>
    <w:rsid w:val="00C7591A"/>
    <w:rsid w:val="00C765A4"/>
    <w:rsid w:val="00CA2350"/>
    <w:rsid w:val="00CA68E4"/>
    <w:rsid w:val="00CA7E41"/>
    <w:rsid w:val="00CB3AC6"/>
    <w:rsid w:val="00CC1A26"/>
    <w:rsid w:val="00CE73C0"/>
    <w:rsid w:val="00D23FBC"/>
    <w:rsid w:val="00D313C1"/>
    <w:rsid w:val="00D3295E"/>
    <w:rsid w:val="00D35B79"/>
    <w:rsid w:val="00D43AB5"/>
    <w:rsid w:val="00D519F9"/>
    <w:rsid w:val="00D53401"/>
    <w:rsid w:val="00D65851"/>
    <w:rsid w:val="00D75ACE"/>
    <w:rsid w:val="00D75B28"/>
    <w:rsid w:val="00D7639F"/>
    <w:rsid w:val="00D919CD"/>
    <w:rsid w:val="00D931E6"/>
    <w:rsid w:val="00D93B01"/>
    <w:rsid w:val="00D944F5"/>
    <w:rsid w:val="00DA5396"/>
    <w:rsid w:val="00DA59C3"/>
    <w:rsid w:val="00DA5B07"/>
    <w:rsid w:val="00DC67F0"/>
    <w:rsid w:val="00DF1A0D"/>
    <w:rsid w:val="00DF22BD"/>
    <w:rsid w:val="00DF3310"/>
    <w:rsid w:val="00E10EBE"/>
    <w:rsid w:val="00E14136"/>
    <w:rsid w:val="00E149CD"/>
    <w:rsid w:val="00E26FDC"/>
    <w:rsid w:val="00E57F60"/>
    <w:rsid w:val="00E674AD"/>
    <w:rsid w:val="00E67F26"/>
    <w:rsid w:val="00E71B81"/>
    <w:rsid w:val="00EA1854"/>
    <w:rsid w:val="00EA7AB7"/>
    <w:rsid w:val="00EB55B9"/>
    <w:rsid w:val="00EC3F4C"/>
    <w:rsid w:val="00EC43F8"/>
    <w:rsid w:val="00EC7866"/>
    <w:rsid w:val="00EE1259"/>
    <w:rsid w:val="00EE1D10"/>
    <w:rsid w:val="00EF5F68"/>
    <w:rsid w:val="00F2457E"/>
    <w:rsid w:val="00F263EF"/>
    <w:rsid w:val="00F53717"/>
    <w:rsid w:val="00F637DF"/>
    <w:rsid w:val="00F8032C"/>
    <w:rsid w:val="00F831B7"/>
    <w:rsid w:val="00F94B44"/>
    <w:rsid w:val="00FB18F1"/>
    <w:rsid w:val="00FD3D57"/>
    <w:rsid w:val="1FDC1976"/>
    <w:rsid w:val="27B55EC0"/>
    <w:rsid w:val="3A8F780A"/>
    <w:rsid w:val="4938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2A66B-F7CD-4CA0-BA2E-CBE99668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Style7">
    <w:name w:val="_Style 7"/>
    <w:basedOn w:val="a"/>
    <w:uiPriority w:val="34"/>
    <w:qFormat/>
    <w:pPr>
      <w:ind w:firstLineChars="200" w:firstLine="420"/>
    </w:pPr>
  </w:style>
  <w:style w:type="paragraph" w:customStyle="1" w:styleId="Style8">
    <w:name w:val="_Style 8"/>
    <w:hidden/>
    <w:uiPriority w:val="99"/>
    <w:semiHidden/>
    <w:qFormat/>
    <w:rPr>
      <w:kern w:val="2"/>
      <w:sz w:val="21"/>
      <w:szCs w:val="22"/>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uiPriority w:val="99"/>
    <w:semiHidden/>
    <w:qFormat/>
    <w:rPr>
      <w:sz w:val="18"/>
      <w:szCs w:val="18"/>
    </w:rPr>
  </w:style>
  <w:style w:type="paragraph" w:styleId="a9">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cueb</cp:lastModifiedBy>
  <cp:revision>18</cp:revision>
  <cp:lastPrinted>2020-05-25T02:29:00Z</cp:lastPrinted>
  <dcterms:created xsi:type="dcterms:W3CDTF">2015-06-10T05:33:00Z</dcterms:created>
  <dcterms:modified xsi:type="dcterms:W3CDTF">2020-05-25T03:01:00Z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