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4D" w:rsidRPr="00F3344D" w:rsidRDefault="00F3344D" w:rsidP="00744D45">
      <w:pPr>
        <w:widowControl/>
        <w:spacing w:line="360" w:lineRule="auto"/>
        <w:jc w:val="center"/>
        <w:rPr>
          <w:rFonts w:ascii="Verdana" w:eastAsia="宋体" w:hAnsi="Verdana" w:cs="宋体"/>
          <w:color w:val="333333"/>
          <w:kern w:val="0"/>
          <w:sz w:val="24"/>
          <w:szCs w:val="24"/>
        </w:rPr>
      </w:pPr>
      <w:r w:rsidRPr="00F3344D">
        <w:rPr>
          <w:rFonts w:ascii="Verdana" w:eastAsia="宋体" w:hAnsi="Verdana" w:cs="宋体"/>
          <w:b/>
          <w:bCs/>
          <w:color w:val="333333"/>
          <w:kern w:val="0"/>
          <w:sz w:val="24"/>
          <w:szCs w:val="24"/>
        </w:rPr>
        <w:t>首都经济贸易大学</w:t>
      </w:r>
    </w:p>
    <w:p w:rsidR="00F3344D" w:rsidRPr="00F3344D" w:rsidRDefault="00F3344D" w:rsidP="00744D45">
      <w:pPr>
        <w:widowControl/>
        <w:spacing w:line="360" w:lineRule="auto"/>
        <w:jc w:val="center"/>
        <w:rPr>
          <w:rFonts w:ascii="Verdana" w:eastAsia="宋体" w:hAnsi="Verdana" w:cs="宋体"/>
          <w:color w:val="333333"/>
          <w:kern w:val="0"/>
          <w:sz w:val="24"/>
          <w:szCs w:val="24"/>
        </w:rPr>
      </w:pPr>
      <w:r w:rsidRPr="00F3344D">
        <w:rPr>
          <w:rFonts w:ascii="Verdana" w:eastAsia="宋体" w:hAnsi="Verdana" w:cs="宋体"/>
          <w:b/>
          <w:bCs/>
          <w:color w:val="333333"/>
          <w:kern w:val="0"/>
          <w:sz w:val="24"/>
          <w:szCs w:val="24"/>
        </w:rPr>
        <w:t>港澳台地区研究生培养和学位授予工作的补充规定</w:t>
      </w:r>
    </w:p>
    <w:p w:rsidR="00F3344D" w:rsidRPr="00F3344D" w:rsidRDefault="00F3344D" w:rsidP="00744D45">
      <w:pPr>
        <w:widowControl/>
        <w:spacing w:line="360" w:lineRule="auto"/>
        <w:jc w:val="center"/>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2015</w:t>
      </w:r>
      <w:r w:rsidRPr="00F3344D">
        <w:rPr>
          <w:rFonts w:ascii="Verdana" w:eastAsia="宋体" w:hAnsi="Verdana" w:cs="宋体"/>
          <w:color w:val="333333"/>
          <w:kern w:val="0"/>
          <w:sz w:val="24"/>
          <w:szCs w:val="24"/>
        </w:rPr>
        <w:t>年</w:t>
      </w:r>
      <w:r w:rsidRPr="00F3344D">
        <w:rPr>
          <w:rFonts w:ascii="Verdana" w:eastAsia="宋体" w:hAnsi="Verdana" w:cs="宋体"/>
          <w:color w:val="333333"/>
          <w:kern w:val="0"/>
          <w:sz w:val="24"/>
          <w:szCs w:val="24"/>
        </w:rPr>
        <w:t>7</w:t>
      </w:r>
      <w:r w:rsidRPr="00F3344D">
        <w:rPr>
          <w:rFonts w:ascii="Verdana" w:eastAsia="宋体" w:hAnsi="Verdana" w:cs="宋体"/>
          <w:color w:val="333333"/>
          <w:kern w:val="0"/>
          <w:sz w:val="24"/>
          <w:szCs w:val="24"/>
        </w:rPr>
        <w:t>月</w:t>
      </w:r>
      <w:r w:rsidRPr="00F3344D">
        <w:rPr>
          <w:rFonts w:ascii="Verdana" w:eastAsia="宋体" w:hAnsi="Verdana" w:cs="宋体"/>
          <w:color w:val="333333"/>
          <w:kern w:val="0"/>
          <w:sz w:val="24"/>
          <w:szCs w:val="24"/>
        </w:rPr>
        <w:t>8</w:t>
      </w:r>
      <w:r w:rsidRPr="00F3344D">
        <w:rPr>
          <w:rFonts w:ascii="Verdana" w:eastAsia="宋体" w:hAnsi="Verdana" w:cs="宋体"/>
          <w:color w:val="333333"/>
          <w:kern w:val="0"/>
          <w:sz w:val="24"/>
          <w:szCs w:val="24"/>
        </w:rPr>
        <w:t>日</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学校学位评定委员会通过</w:t>
      </w:r>
    </w:p>
    <w:p w:rsidR="00F3344D" w:rsidRPr="00F3344D" w:rsidRDefault="00F3344D" w:rsidP="00744D45">
      <w:pPr>
        <w:widowControl/>
        <w:spacing w:line="360" w:lineRule="auto"/>
        <w:rPr>
          <w:rFonts w:ascii="Verdana" w:eastAsia="宋体" w:hAnsi="Verdana" w:cs="宋体"/>
          <w:color w:val="333333"/>
          <w:kern w:val="0"/>
          <w:sz w:val="24"/>
          <w:szCs w:val="24"/>
        </w:rPr>
      </w:pPr>
      <w:r w:rsidRPr="00F3344D">
        <w:rPr>
          <w:rFonts w:ascii="Verdana" w:eastAsia="宋体" w:hAnsi="Verdana" w:cs="宋体"/>
          <w:b/>
          <w:bCs/>
          <w:color w:val="333333"/>
          <w:kern w:val="0"/>
          <w:sz w:val="24"/>
          <w:szCs w:val="24"/>
        </w:rPr>
        <w:t> </w:t>
      </w:r>
    </w:p>
    <w:p w:rsidR="00F3344D" w:rsidRPr="00F3344D" w:rsidRDefault="00F3344D" w:rsidP="00744D45">
      <w:pPr>
        <w:widowControl/>
        <w:spacing w:line="360" w:lineRule="auto"/>
        <w:ind w:firstLineChars="200"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第一条</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为进一步规范香港、澳门及台湾</w:t>
      </w:r>
      <w:bookmarkStart w:id="0" w:name="_GoBack"/>
      <w:bookmarkEnd w:id="0"/>
      <w:r w:rsidRPr="00F3344D">
        <w:rPr>
          <w:rFonts w:ascii="Verdana" w:eastAsia="宋体" w:hAnsi="Verdana" w:cs="宋体"/>
          <w:color w:val="333333"/>
          <w:kern w:val="0"/>
          <w:sz w:val="24"/>
          <w:szCs w:val="24"/>
        </w:rPr>
        <w:t>地区研究生（以下简称</w:t>
      </w:r>
      <w:r w:rsidRPr="00F3344D">
        <w:rPr>
          <w:rFonts w:ascii="Verdana" w:eastAsia="宋体" w:hAnsi="Verdana" w:cs="宋体"/>
          <w:color w:val="333333"/>
          <w:kern w:val="0"/>
          <w:sz w:val="24"/>
          <w:szCs w:val="24"/>
        </w:rPr>
        <w:t>“</w:t>
      </w:r>
      <w:r w:rsidRPr="00F3344D">
        <w:rPr>
          <w:rFonts w:ascii="Verdana" w:eastAsia="宋体" w:hAnsi="Verdana" w:cs="宋体"/>
          <w:color w:val="333333"/>
          <w:kern w:val="0"/>
          <w:sz w:val="24"/>
          <w:szCs w:val="24"/>
        </w:rPr>
        <w:t>港澳台研究生</w:t>
      </w:r>
      <w:r w:rsidRPr="00F3344D">
        <w:rPr>
          <w:rFonts w:ascii="Verdana" w:eastAsia="宋体" w:hAnsi="Verdana" w:cs="宋体"/>
          <w:color w:val="333333"/>
          <w:kern w:val="0"/>
          <w:sz w:val="24"/>
          <w:szCs w:val="24"/>
        </w:rPr>
        <w:t>”</w:t>
      </w:r>
      <w:r w:rsidR="00744D45">
        <w:rPr>
          <w:rFonts w:ascii="Verdana" w:eastAsia="宋体" w:hAnsi="Verdana" w:cs="宋体"/>
          <w:color w:val="333333"/>
          <w:kern w:val="0"/>
          <w:sz w:val="24"/>
          <w:szCs w:val="24"/>
        </w:rPr>
        <w:t>）培养和学位授予工作，保证港澳台研究生的培养质量，根据教育部</w:t>
      </w:r>
      <w:r w:rsidRPr="00F3344D">
        <w:rPr>
          <w:rFonts w:ascii="Verdana" w:eastAsia="宋体" w:hAnsi="Verdana" w:cs="宋体"/>
          <w:color w:val="333333"/>
          <w:kern w:val="0"/>
          <w:sz w:val="24"/>
          <w:szCs w:val="24"/>
        </w:rPr>
        <w:t>《关于普通高等学校招收和培养香港特别行政区、澳门地区及台湾省学生的暂行规定》（教外港</w:t>
      </w:r>
      <w:r w:rsidRPr="00F3344D">
        <w:rPr>
          <w:rFonts w:ascii="Verdana" w:eastAsia="宋体" w:hAnsi="Verdana" w:cs="宋体"/>
          <w:color w:val="333333"/>
          <w:kern w:val="0"/>
          <w:sz w:val="24"/>
          <w:szCs w:val="24"/>
        </w:rPr>
        <w:t>[1999]22</w:t>
      </w:r>
      <w:r w:rsidRPr="00F3344D">
        <w:rPr>
          <w:rFonts w:ascii="Verdana" w:eastAsia="宋体" w:hAnsi="Verdana" w:cs="宋体"/>
          <w:color w:val="333333"/>
          <w:kern w:val="0"/>
          <w:sz w:val="24"/>
          <w:szCs w:val="24"/>
        </w:rPr>
        <w:t>号）、和首都经济贸易大学（以下简称</w:t>
      </w:r>
      <w:r w:rsidRPr="00F3344D">
        <w:rPr>
          <w:rFonts w:ascii="Verdana" w:eastAsia="宋体" w:hAnsi="Verdana" w:cs="宋体"/>
          <w:color w:val="333333"/>
          <w:kern w:val="0"/>
          <w:sz w:val="24"/>
          <w:szCs w:val="24"/>
        </w:rPr>
        <w:t>“</w:t>
      </w:r>
      <w:r w:rsidRPr="00F3344D">
        <w:rPr>
          <w:rFonts w:ascii="Verdana" w:eastAsia="宋体" w:hAnsi="Verdana" w:cs="宋体"/>
          <w:color w:val="333333"/>
          <w:kern w:val="0"/>
          <w:sz w:val="24"/>
          <w:szCs w:val="24"/>
        </w:rPr>
        <w:t>我校</w:t>
      </w:r>
      <w:r w:rsidRPr="00F3344D">
        <w:rPr>
          <w:rFonts w:ascii="Verdana" w:eastAsia="宋体" w:hAnsi="Verdana" w:cs="宋体"/>
          <w:color w:val="333333"/>
          <w:kern w:val="0"/>
          <w:sz w:val="24"/>
          <w:szCs w:val="24"/>
        </w:rPr>
        <w:t>”</w:t>
      </w:r>
      <w:r w:rsidRPr="00F3344D">
        <w:rPr>
          <w:rFonts w:ascii="Verdana" w:eastAsia="宋体" w:hAnsi="Verdana" w:cs="宋体"/>
          <w:color w:val="333333"/>
          <w:kern w:val="0"/>
          <w:sz w:val="24"/>
          <w:szCs w:val="24"/>
        </w:rPr>
        <w:t>）《学术学位硕士研究生培养方案总则》、《专业学位硕士研究生培养方案总则》、《博士研究生培养方案总则》、《学位授予工作细则》等有关文件的精神，结合我校实际情况，特制定本补充规定。</w:t>
      </w:r>
    </w:p>
    <w:p w:rsidR="00F3344D" w:rsidRPr="00F3344D" w:rsidRDefault="00F3344D" w:rsidP="00744D45">
      <w:pPr>
        <w:widowControl/>
        <w:spacing w:line="360" w:lineRule="auto"/>
        <w:ind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第二条</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本补充规定所涉及的</w:t>
      </w:r>
      <w:r w:rsidRPr="00F3344D">
        <w:rPr>
          <w:rFonts w:ascii="Verdana" w:eastAsia="宋体" w:hAnsi="Verdana" w:cs="宋体"/>
          <w:color w:val="333333"/>
          <w:kern w:val="0"/>
          <w:sz w:val="24"/>
          <w:szCs w:val="24"/>
        </w:rPr>
        <w:t>“</w:t>
      </w:r>
      <w:r w:rsidRPr="00F3344D">
        <w:rPr>
          <w:rFonts w:ascii="Verdana" w:eastAsia="宋体" w:hAnsi="Verdana" w:cs="宋体"/>
          <w:color w:val="333333"/>
          <w:kern w:val="0"/>
          <w:sz w:val="24"/>
          <w:szCs w:val="24"/>
        </w:rPr>
        <w:t>港澳台研究生</w:t>
      </w:r>
      <w:r w:rsidRPr="00F3344D">
        <w:rPr>
          <w:rFonts w:ascii="Verdana" w:eastAsia="宋体" w:hAnsi="Verdana" w:cs="宋体"/>
          <w:color w:val="333333"/>
          <w:kern w:val="0"/>
          <w:sz w:val="24"/>
          <w:szCs w:val="24"/>
        </w:rPr>
        <w:t>”</w:t>
      </w:r>
      <w:r w:rsidRPr="00F3344D">
        <w:rPr>
          <w:rFonts w:ascii="Verdana" w:eastAsia="宋体" w:hAnsi="Verdana" w:cs="宋体"/>
          <w:color w:val="333333"/>
          <w:kern w:val="0"/>
          <w:sz w:val="24"/>
          <w:szCs w:val="24"/>
        </w:rPr>
        <w:t>系指属于香港、澳门及台湾地区永久居民的我校研究生。</w:t>
      </w:r>
    </w:p>
    <w:p w:rsidR="00F3344D" w:rsidRPr="00F3344D" w:rsidRDefault="00F3344D" w:rsidP="00744D45">
      <w:pPr>
        <w:widowControl/>
        <w:spacing w:line="360" w:lineRule="auto"/>
        <w:ind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第三条</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我校按照相关规定并根据我校学位授权点和层次以及培养条件，可招收相应的港澳台硕士研究生和港澳台博士研究生。</w:t>
      </w:r>
    </w:p>
    <w:p w:rsidR="00F3344D" w:rsidRPr="00F3344D" w:rsidRDefault="00F3344D" w:rsidP="00744D45">
      <w:pPr>
        <w:widowControl/>
        <w:spacing w:line="360" w:lineRule="auto"/>
        <w:ind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第四条</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港澳台硕士研究生培养方案应依据我校同年级同专业内地（祖国大陆）硕士研究生培养方案制定，课程学分和实践与创新学分应不低于内地（祖国大陆）硕士研究生相应的学分要求。其教学计划中可免修政治理论课。</w:t>
      </w:r>
    </w:p>
    <w:p w:rsidR="00F3344D" w:rsidRPr="00F3344D" w:rsidRDefault="00F3344D" w:rsidP="00744D45">
      <w:pPr>
        <w:widowControl/>
        <w:spacing w:line="360" w:lineRule="auto"/>
        <w:ind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第五条</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港澳台博士研究生应依据我校同年级同专业内地（祖国大陆）博士研究生培养方案制定，课程学分应不低于我校内地（祖国大陆）博士研究生相应的学分要求。其教学计划中可免修政治理论课。</w:t>
      </w:r>
    </w:p>
    <w:p w:rsidR="00F3344D" w:rsidRPr="00F3344D" w:rsidRDefault="00F3344D" w:rsidP="00744D45">
      <w:pPr>
        <w:widowControl/>
        <w:spacing w:line="360" w:lineRule="auto"/>
        <w:ind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第六条</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港澳台研究生的学位论文应用汉语撰写和答辩。</w:t>
      </w:r>
    </w:p>
    <w:p w:rsidR="00F3344D" w:rsidRPr="00F3344D" w:rsidRDefault="00F3344D" w:rsidP="00744D45">
      <w:pPr>
        <w:widowControl/>
        <w:spacing w:line="360" w:lineRule="auto"/>
        <w:ind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第七条</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港澳台研究生的学位课程和要求如下：</w:t>
      </w:r>
    </w:p>
    <w:p w:rsidR="00F3344D" w:rsidRPr="00F3344D" w:rsidRDefault="00F3344D" w:rsidP="00744D45">
      <w:pPr>
        <w:widowControl/>
        <w:spacing w:line="360" w:lineRule="auto"/>
        <w:ind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（一）</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基础理论课和专业课。要求掌握坚实的基础理论和系统的专门知识；</w:t>
      </w:r>
    </w:p>
    <w:p w:rsidR="00F3344D" w:rsidRPr="00F3344D" w:rsidRDefault="00F3344D" w:rsidP="00744D45">
      <w:pPr>
        <w:widowControl/>
        <w:spacing w:line="360" w:lineRule="auto"/>
        <w:ind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（二）</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英语。要求比较熟练地阅读本专业的英语资料，具有较强的听说和写作能力。</w:t>
      </w:r>
    </w:p>
    <w:p w:rsidR="00F3344D" w:rsidRPr="00F3344D" w:rsidRDefault="00F3344D" w:rsidP="00744D45">
      <w:pPr>
        <w:widowControl/>
        <w:spacing w:line="360" w:lineRule="auto"/>
        <w:ind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第八条</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港澳台博士研究生应在攻读博士学位期间公开发表或会议上公开宣读</w:t>
      </w:r>
      <w:r w:rsidRPr="00F3344D">
        <w:rPr>
          <w:rFonts w:ascii="Verdana" w:eastAsia="宋体" w:hAnsi="Verdana" w:cs="宋体"/>
          <w:color w:val="333333"/>
          <w:kern w:val="0"/>
          <w:sz w:val="24"/>
          <w:szCs w:val="24"/>
        </w:rPr>
        <w:t>2</w:t>
      </w:r>
      <w:r w:rsidRPr="00F3344D">
        <w:rPr>
          <w:rFonts w:ascii="Verdana" w:eastAsia="宋体" w:hAnsi="Verdana" w:cs="宋体"/>
          <w:color w:val="333333"/>
          <w:kern w:val="0"/>
          <w:sz w:val="24"/>
          <w:szCs w:val="24"/>
        </w:rPr>
        <w:t>篇与申请学位专业相关的学术论文（要求第一作者或除导师之外的第一作者）。</w:t>
      </w:r>
    </w:p>
    <w:p w:rsidR="00F3344D" w:rsidRPr="00F3344D" w:rsidRDefault="00F3344D" w:rsidP="00744D45">
      <w:pPr>
        <w:widowControl/>
        <w:spacing w:line="360" w:lineRule="auto"/>
        <w:ind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lastRenderedPageBreak/>
        <w:t>第九条</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港澳台研究生培养和学位授予的各个工作环节，本规定未涉及的，均执行与我校内地（祖国大陆）研究生同样的规定。</w:t>
      </w:r>
    </w:p>
    <w:p w:rsidR="00F3344D" w:rsidRPr="00F3344D" w:rsidRDefault="00F3344D" w:rsidP="00744D45">
      <w:pPr>
        <w:widowControl/>
        <w:spacing w:line="360" w:lineRule="auto"/>
        <w:ind w:firstLine="480"/>
        <w:rPr>
          <w:rFonts w:ascii="Verdana" w:eastAsia="宋体" w:hAnsi="Verdana" w:cs="宋体"/>
          <w:color w:val="333333"/>
          <w:kern w:val="0"/>
          <w:sz w:val="24"/>
          <w:szCs w:val="24"/>
        </w:rPr>
      </w:pPr>
      <w:r w:rsidRPr="00F3344D">
        <w:rPr>
          <w:rFonts w:ascii="Verdana" w:eastAsia="宋体" w:hAnsi="Verdana" w:cs="宋体"/>
          <w:color w:val="333333"/>
          <w:kern w:val="0"/>
          <w:sz w:val="24"/>
          <w:szCs w:val="24"/>
        </w:rPr>
        <w:t>第十条</w:t>
      </w:r>
      <w:r w:rsidRPr="00F3344D">
        <w:rPr>
          <w:rFonts w:ascii="Verdana" w:eastAsia="宋体" w:hAnsi="Verdana" w:cs="宋体"/>
          <w:color w:val="333333"/>
          <w:kern w:val="0"/>
          <w:sz w:val="24"/>
          <w:szCs w:val="24"/>
        </w:rPr>
        <w:t xml:space="preserve">  </w:t>
      </w:r>
      <w:r w:rsidRPr="00F3344D">
        <w:rPr>
          <w:rFonts w:ascii="Verdana" w:eastAsia="宋体" w:hAnsi="Verdana" w:cs="宋体"/>
          <w:color w:val="333333"/>
          <w:kern w:val="0"/>
          <w:sz w:val="24"/>
          <w:szCs w:val="24"/>
        </w:rPr>
        <w:t>本补充规定由研究生部负责解释。</w:t>
      </w:r>
    </w:p>
    <w:p w:rsidR="005D66B2" w:rsidRPr="005E5577" w:rsidRDefault="00F3344D" w:rsidP="00744D45">
      <w:pPr>
        <w:spacing w:line="360" w:lineRule="auto"/>
        <w:ind w:firstLineChars="200" w:firstLine="480"/>
        <w:rPr>
          <w:sz w:val="24"/>
          <w:szCs w:val="24"/>
        </w:rPr>
      </w:pPr>
      <w:r w:rsidRPr="005E5577">
        <w:rPr>
          <w:rFonts w:ascii="Verdana" w:eastAsia="宋体" w:hAnsi="Verdana" w:cs="宋体"/>
          <w:color w:val="333333"/>
          <w:kern w:val="0"/>
          <w:sz w:val="24"/>
          <w:szCs w:val="24"/>
        </w:rPr>
        <w:t>第十一条</w:t>
      </w:r>
      <w:r w:rsidRPr="005E5577">
        <w:rPr>
          <w:rFonts w:ascii="Verdana" w:eastAsia="宋体" w:hAnsi="Verdana" w:cs="宋体"/>
          <w:color w:val="333333"/>
          <w:kern w:val="0"/>
          <w:sz w:val="24"/>
          <w:szCs w:val="24"/>
        </w:rPr>
        <w:t xml:space="preserve">  </w:t>
      </w:r>
      <w:r w:rsidRPr="005E5577">
        <w:rPr>
          <w:rFonts w:ascii="Verdana" w:eastAsia="宋体" w:hAnsi="Verdana" w:cs="宋体"/>
          <w:color w:val="333333"/>
          <w:kern w:val="0"/>
          <w:sz w:val="24"/>
          <w:szCs w:val="24"/>
        </w:rPr>
        <w:t>本补充规定自</w:t>
      </w:r>
      <w:r w:rsidRPr="005E5577">
        <w:rPr>
          <w:rFonts w:ascii="Verdana" w:eastAsia="宋体" w:hAnsi="Verdana" w:cs="宋体"/>
          <w:color w:val="333333"/>
          <w:kern w:val="0"/>
          <w:sz w:val="24"/>
          <w:szCs w:val="24"/>
        </w:rPr>
        <w:t>2015</w:t>
      </w:r>
      <w:r w:rsidRPr="005E5577">
        <w:rPr>
          <w:rFonts w:ascii="Verdana" w:eastAsia="宋体" w:hAnsi="Verdana" w:cs="宋体"/>
          <w:color w:val="333333"/>
          <w:kern w:val="0"/>
          <w:sz w:val="24"/>
          <w:szCs w:val="24"/>
        </w:rPr>
        <w:t>年</w:t>
      </w:r>
      <w:r w:rsidRPr="005E5577">
        <w:rPr>
          <w:rFonts w:ascii="Verdana" w:eastAsia="宋体" w:hAnsi="Verdana" w:cs="宋体"/>
          <w:color w:val="333333"/>
          <w:kern w:val="0"/>
          <w:sz w:val="24"/>
          <w:szCs w:val="24"/>
        </w:rPr>
        <w:t>9</w:t>
      </w:r>
      <w:r w:rsidRPr="005E5577">
        <w:rPr>
          <w:rFonts w:ascii="Verdana" w:eastAsia="宋体" w:hAnsi="Verdana" w:cs="宋体"/>
          <w:color w:val="333333"/>
          <w:kern w:val="0"/>
          <w:sz w:val="24"/>
          <w:szCs w:val="24"/>
        </w:rPr>
        <w:t>月</w:t>
      </w:r>
      <w:r w:rsidRPr="005E5577">
        <w:rPr>
          <w:rFonts w:ascii="Verdana" w:eastAsia="宋体" w:hAnsi="Verdana" w:cs="宋体"/>
          <w:color w:val="333333"/>
          <w:kern w:val="0"/>
          <w:sz w:val="24"/>
          <w:szCs w:val="24"/>
        </w:rPr>
        <w:t>1</w:t>
      </w:r>
      <w:r w:rsidRPr="005E5577">
        <w:rPr>
          <w:rFonts w:ascii="Verdana" w:eastAsia="宋体" w:hAnsi="Verdana" w:cs="宋体"/>
          <w:color w:val="333333"/>
          <w:kern w:val="0"/>
          <w:sz w:val="24"/>
          <w:szCs w:val="24"/>
        </w:rPr>
        <w:t>日开始执行。</w:t>
      </w:r>
    </w:p>
    <w:sectPr w:rsidR="005D66B2" w:rsidRPr="005E55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34C" w:rsidRDefault="00CA334C" w:rsidP="00744D45">
      <w:r>
        <w:separator/>
      </w:r>
    </w:p>
  </w:endnote>
  <w:endnote w:type="continuationSeparator" w:id="0">
    <w:p w:rsidR="00CA334C" w:rsidRDefault="00CA334C" w:rsidP="0074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erdana">
    <w:charset w:val="00"/>
    <w:family w:val="swiss"/>
    <w:pitch w:val="variable"/>
    <w:sig w:usb0="20000287" w:usb1="00000000"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34C" w:rsidRDefault="00CA334C" w:rsidP="00744D45">
      <w:r>
        <w:separator/>
      </w:r>
    </w:p>
  </w:footnote>
  <w:footnote w:type="continuationSeparator" w:id="0">
    <w:p w:rsidR="00CA334C" w:rsidRDefault="00CA334C" w:rsidP="00744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4D"/>
    <w:rsid w:val="005D66B2"/>
    <w:rsid w:val="005E5577"/>
    <w:rsid w:val="00744D45"/>
    <w:rsid w:val="00CA334C"/>
    <w:rsid w:val="00F3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2E6E"/>
  <w15:chartTrackingRefBased/>
  <w15:docId w15:val="{692B7666-5325-40BC-8900-BE2DD88C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D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4D45"/>
    <w:rPr>
      <w:sz w:val="18"/>
      <w:szCs w:val="18"/>
    </w:rPr>
  </w:style>
  <w:style w:type="paragraph" w:styleId="a5">
    <w:name w:val="footer"/>
    <w:basedOn w:val="a"/>
    <w:link w:val="a6"/>
    <w:uiPriority w:val="99"/>
    <w:unhideWhenUsed/>
    <w:rsid w:val="00744D45"/>
    <w:pPr>
      <w:tabs>
        <w:tab w:val="center" w:pos="4153"/>
        <w:tab w:val="right" w:pos="8306"/>
      </w:tabs>
      <w:snapToGrid w:val="0"/>
      <w:jc w:val="left"/>
    </w:pPr>
    <w:rPr>
      <w:sz w:val="18"/>
      <w:szCs w:val="18"/>
    </w:rPr>
  </w:style>
  <w:style w:type="character" w:customStyle="1" w:styleId="a6">
    <w:name w:val="页脚 字符"/>
    <w:basedOn w:val="a0"/>
    <w:link w:val="a5"/>
    <w:uiPriority w:val="99"/>
    <w:rsid w:val="00744D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62612">
      <w:bodyDiv w:val="1"/>
      <w:marLeft w:val="0"/>
      <w:marRight w:val="0"/>
      <w:marTop w:val="0"/>
      <w:marBottom w:val="0"/>
      <w:divBdr>
        <w:top w:val="none" w:sz="0" w:space="0" w:color="auto"/>
        <w:left w:val="none" w:sz="0" w:space="0" w:color="auto"/>
        <w:bottom w:val="none" w:sz="0" w:space="0" w:color="auto"/>
        <w:right w:val="none" w:sz="0" w:space="0" w:color="auto"/>
      </w:divBdr>
      <w:divsChild>
        <w:div w:id="582644130">
          <w:marLeft w:val="0"/>
          <w:marRight w:val="0"/>
          <w:marTop w:val="260"/>
          <w:marBottom w:val="120"/>
          <w:divBdr>
            <w:top w:val="none" w:sz="0" w:space="0" w:color="auto"/>
            <w:left w:val="none" w:sz="0" w:space="0" w:color="auto"/>
            <w:bottom w:val="none" w:sz="0" w:space="0" w:color="auto"/>
            <w:right w:val="none" w:sz="0" w:space="0" w:color="auto"/>
          </w:divBdr>
        </w:div>
        <w:div w:id="65733704">
          <w:marLeft w:val="0"/>
          <w:marRight w:val="0"/>
          <w:marTop w:val="260"/>
          <w:marBottom w:val="120"/>
          <w:divBdr>
            <w:top w:val="none" w:sz="0" w:space="0" w:color="auto"/>
            <w:left w:val="none" w:sz="0" w:space="0" w:color="auto"/>
            <w:bottom w:val="none" w:sz="0" w:space="0" w:color="auto"/>
            <w:right w:val="none" w:sz="0" w:space="0" w:color="auto"/>
          </w:divBdr>
        </w:div>
        <w:div w:id="965887952">
          <w:marLeft w:val="0"/>
          <w:marRight w:val="0"/>
          <w:marTop w:val="120"/>
          <w:marBottom w:val="260"/>
          <w:divBdr>
            <w:top w:val="none" w:sz="0" w:space="0" w:color="auto"/>
            <w:left w:val="none" w:sz="0" w:space="0" w:color="auto"/>
            <w:bottom w:val="none" w:sz="0" w:space="0" w:color="auto"/>
            <w:right w:val="none" w:sz="0" w:space="0" w:color="auto"/>
          </w:divBdr>
        </w:div>
        <w:div w:id="650448170">
          <w:marLeft w:val="0"/>
          <w:marRight w:val="0"/>
          <w:marTop w:val="0"/>
          <w:marBottom w:val="0"/>
          <w:divBdr>
            <w:top w:val="none" w:sz="0" w:space="0" w:color="auto"/>
            <w:left w:val="none" w:sz="0" w:space="0" w:color="auto"/>
            <w:bottom w:val="none" w:sz="0" w:space="0" w:color="auto"/>
            <w:right w:val="none" w:sz="0" w:space="0" w:color="auto"/>
          </w:divBdr>
        </w:div>
        <w:div w:id="2108235303">
          <w:marLeft w:val="0"/>
          <w:marRight w:val="0"/>
          <w:marTop w:val="0"/>
          <w:marBottom w:val="0"/>
          <w:divBdr>
            <w:top w:val="none" w:sz="0" w:space="0" w:color="auto"/>
            <w:left w:val="none" w:sz="0" w:space="0" w:color="auto"/>
            <w:bottom w:val="none" w:sz="0" w:space="0" w:color="auto"/>
            <w:right w:val="none" w:sz="0" w:space="0" w:color="auto"/>
          </w:divBdr>
        </w:div>
        <w:div w:id="1355426308">
          <w:marLeft w:val="0"/>
          <w:marRight w:val="0"/>
          <w:marTop w:val="0"/>
          <w:marBottom w:val="0"/>
          <w:divBdr>
            <w:top w:val="none" w:sz="0" w:space="0" w:color="auto"/>
            <w:left w:val="none" w:sz="0" w:space="0" w:color="auto"/>
            <w:bottom w:val="none" w:sz="0" w:space="0" w:color="auto"/>
            <w:right w:val="none" w:sz="0" w:space="0" w:color="auto"/>
          </w:divBdr>
        </w:div>
        <w:div w:id="1968854978">
          <w:marLeft w:val="0"/>
          <w:marRight w:val="0"/>
          <w:marTop w:val="0"/>
          <w:marBottom w:val="0"/>
          <w:divBdr>
            <w:top w:val="none" w:sz="0" w:space="0" w:color="auto"/>
            <w:left w:val="none" w:sz="0" w:space="0" w:color="auto"/>
            <w:bottom w:val="none" w:sz="0" w:space="0" w:color="auto"/>
            <w:right w:val="none" w:sz="0" w:space="0" w:color="auto"/>
          </w:divBdr>
        </w:div>
        <w:div w:id="1182358756">
          <w:marLeft w:val="0"/>
          <w:marRight w:val="0"/>
          <w:marTop w:val="0"/>
          <w:marBottom w:val="0"/>
          <w:divBdr>
            <w:top w:val="none" w:sz="0" w:space="0" w:color="auto"/>
            <w:left w:val="none" w:sz="0" w:space="0" w:color="auto"/>
            <w:bottom w:val="none" w:sz="0" w:space="0" w:color="auto"/>
            <w:right w:val="none" w:sz="0" w:space="0" w:color="auto"/>
          </w:divBdr>
        </w:div>
        <w:div w:id="670840961">
          <w:marLeft w:val="0"/>
          <w:marRight w:val="0"/>
          <w:marTop w:val="0"/>
          <w:marBottom w:val="0"/>
          <w:divBdr>
            <w:top w:val="none" w:sz="0" w:space="0" w:color="auto"/>
            <w:left w:val="none" w:sz="0" w:space="0" w:color="auto"/>
            <w:bottom w:val="none" w:sz="0" w:space="0" w:color="auto"/>
            <w:right w:val="none" w:sz="0" w:space="0" w:color="auto"/>
          </w:divBdr>
        </w:div>
        <w:div w:id="1012536304">
          <w:marLeft w:val="0"/>
          <w:marRight w:val="0"/>
          <w:marTop w:val="0"/>
          <w:marBottom w:val="0"/>
          <w:divBdr>
            <w:top w:val="none" w:sz="0" w:space="0" w:color="auto"/>
            <w:left w:val="none" w:sz="0" w:space="0" w:color="auto"/>
            <w:bottom w:val="none" w:sz="0" w:space="0" w:color="auto"/>
            <w:right w:val="none" w:sz="0" w:space="0" w:color="auto"/>
          </w:divBdr>
        </w:div>
        <w:div w:id="1641962838">
          <w:marLeft w:val="0"/>
          <w:marRight w:val="0"/>
          <w:marTop w:val="0"/>
          <w:marBottom w:val="0"/>
          <w:divBdr>
            <w:top w:val="none" w:sz="0" w:space="0" w:color="auto"/>
            <w:left w:val="none" w:sz="0" w:space="0" w:color="auto"/>
            <w:bottom w:val="none" w:sz="0" w:space="0" w:color="auto"/>
            <w:right w:val="none" w:sz="0" w:space="0" w:color="auto"/>
          </w:divBdr>
        </w:div>
        <w:div w:id="1250652191">
          <w:marLeft w:val="0"/>
          <w:marRight w:val="0"/>
          <w:marTop w:val="0"/>
          <w:marBottom w:val="0"/>
          <w:divBdr>
            <w:top w:val="none" w:sz="0" w:space="0" w:color="auto"/>
            <w:left w:val="none" w:sz="0" w:space="0" w:color="auto"/>
            <w:bottom w:val="none" w:sz="0" w:space="0" w:color="auto"/>
            <w:right w:val="none" w:sz="0" w:space="0" w:color="auto"/>
          </w:divBdr>
        </w:div>
        <w:div w:id="193226676">
          <w:marLeft w:val="0"/>
          <w:marRight w:val="0"/>
          <w:marTop w:val="0"/>
          <w:marBottom w:val="0"/>
          <w:divBdr>
            <w:top w:val="none" w:sz="0" w:space="0" w:color="auto"/>
            <w:left w:val="none" w:sz="0" w:space="0" w:color="auto"/>
            <w:bottom w:val="none" w:sz="0" w:space="0" w:color="auto"/>
            <w:right w:val="none" w:sz="0" w:space="0" w:color="auto"/>
          </w:divBdr>
        </w:div>
        <w:div w:id="489563997">
          <w:marLeft w:val="0"/>
          <w:marRight w:val="0"/>
          <w:marTop w:val="0"/>
          <w:marBottom w:val="0"/>
          <w:divBdr>
            <w:top w:val="none" w:sz="0" w:space="0" w:color="auto"/>
            <w:left w:val="none" w:sz="0" w:space="0" w:color="auto"/>
            <w:bottom w:val="none" w:sz="0" w:space="0" w:color="auto"/>
            <w:right w:val="none" w:sz="0" w:space="0" w:color="auto"/>
          </w:divBdr>
        </w:div>
        <w:div w:id="65144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2016-01-15T06:19:00Z</dcterms:created>
  <dcterms:modified xsi:type="dcterms:W3CDTF">2016-01-15T08:09:00Z</dcterms:modified>
</cp:coreProperties>
</file>