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BD" w:rsidRPr="00980DBD" w:rsidRDefault="00980DBD" w:rsidP="00980DBD">
      <w:pPr>
        <w:widowControl/>
        <w:spacing w:line="240" w:lineRule="auto"/>
        <w:jc w:val="center"/>
        <w:rPr>
          <w:rFonts w:ascii="Verdana" w:eastAsia="宋体" w:hAnsi="Verdana" w:cs="宋体"/>
          <w:color w:val="333333"/>
          <w:kern w:val="0"/>
          <w:sz w:val="16"/>
          <w:szCs w:val="16"/>
        </w:rPr>
      </w:pPr>
      <w:bookmarkStart w:id="0" w:name="_GoBack"/>
      <w:bookmarkEnd w:id="0"/>
      <w:r w:rsidRPr="00980DBD">
        <w:rPr>
          <w:rFonts w:ascii="Verdana" w:eastAsia="宋体" w:hAnsi="Verdana" w:cs="宋体"/>
          <w:b/>
          <w:bCs/>
          <w:color w:val="333333"/>
          <w:kern w:val="0"/>
          <w:sz w:val="32"/>
          <w:szCs w:val="32"/>
        </w:rPr>
        <w:t>首都经济贸易大学硕博连读研究生选拔与管理规定</w:t>
      </w:r>
    </w:p>
    <w:p w:rsidR="00980DBD" w:rsidRPr="00980DBD" w:rsidRDefault="00980DBD" w:rsidP="005E2198">
      <w:pPr>
        <w:widowControl/>
        <w:spacing w:line="240" w:lineRule="auto"/>
        <w:jc w:val="center"/>
        <w:rPr>
          <w:rFonts w:ascii="Verdana" w:eastAsia="宋体" w:hAnsi="Verdana" w:cs="宋体"/>
          <w:color w:val="333333"/>
          <w:kern w:val="0"/>
          <w:sz w:val="16"/>
          <w:szCs w:val="16"/>
        </w:rPr>
      </w:pPr>
      <w:r w:rsidRPr="00980DBD">
        <w:rPr>
          <w:rFonts w:ascii="Verdana" w:eastAsia="宋体" w:hAnsi="Verdana" w:cs="宋体"/>
          <w:b/>
          <w:bCs/>
          <w:color w:val="333333"/>
          <w:kern w:val="0"/>
          <w:sz w:val="28"/>
          <w:szCs w:val="28"/>
        </w:rPr>
        <w:t>2014</w:t>
      </w:r>
      <w:r w:rsidRPr="00980DBD">
        <w:rPr>
          <w:rFonts w:ascii="Verdana" w:eastAsia="宋体" w:hAnsi="Verdana" w:cs="宋体"/>
          <w:b/>
          <w:bCs/>
          <w:color w:val="333333"/>
          <w:kern w:val="0"/>
          <w:sz w:val="28"/>
          <w:szCs w:val="28"/>
        </w:rPr>
        <w:t>年</w:t>
      </w:r>
      <w:r w:rsidRPr="00980DBD">
        <w:rPr>
          <w:rFonts w:ascii="Verdana" w:eastAsia="宋体" w:hAnsi="Verdana" w:cs="宋体"/>
          <w:b/>
          <w:bCs/>
          <w:color w:val="333333"/>
          <w:kern w:val="0"/>
          <w:sz w:val="28"/>
          <w:szCs w:val="28"/>
        </w:rPr>
        <w:t>9</w:t>
      </w:r>
      <w:r w:rsidRPr="00980DBD">
        <w:rPr>
          <w:rFonts w:ascii="Verdana" w:eastAsia="宋体" w:hAnsi="Verdana" w:cs="宋体"/>
          <w:b/>
          <w:bCs/>
          <w:color w:val="333333"/>
          <w:kern w:val="0"/>
          <w:sz w:val="28"/>
          <w:szCs w:val="28"/>
        </w:rPr>
        <w:t>月</w:t>
      </w:r>
      <w:r w:rsidRPr="00980DBD">
        <w:rPr>
          <w:rFonts w:ascii="Verdana" w:eastAsia="宋体" w:hAnsi="Verdana" w:cs="宋体"/>
          <w:b/>
          <w:bCs/>
          <w:color w:val="333333"/>
          <w:kern w:val="0"/>
          <w:sz w:val="28"/>
          <w:szCs w:val="28"/>
        </w:rPr>
        <w:t>1</w:t>
      </w:r>
      <w:r w:rsidRPr="00980DBD">
        <w:rPr>
          <w:rFonts w:ascii="Verdana" w:eastAsia="宋体" w:hAnsi="Verdana" w:cs="宋体"/>
          <w:b/>
          <w:bCs/>
          <w:color w:val="333333"/>
          <w:kern w:val="0"/>
          <w:sz w:val="28"/>
          <w:szCs w:val="28"/>
        </w:rPr>
        <w:t>日修订</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为了适应培养高素质创新人才的需要，推进研究生培养方式的改革，提高博士生的生源质量，鼓励优秀硕士研究生尽快进入博士生培养阶段，根据国务院学位委员会和教育部的有关文件精神，结合我校实际，特对我校硕博连读研究生选拔和管理工作做以下规定。</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b/>
          <w:bCs/>
          <w:color w:val="333333"/>
          <w:kern w:val="0"/>
          <w:sz w:val="28"/>
          <w:szCs w:val="28"/>
        </w:rPr>
        <w:t> </w:t>
      </w:r>
      <w:r w:rsidRPr="00980DBD">
        <w:rPr>
          <w:rFonts w:ascii="Verdana" w:eastAsia="宋体" w:hAnsi="Verdana" w:cs="宋体"/>
          <w:b/>
          <w:bCs/>
          <w:color w:val="333333"/>
          <w:kern w:val="0"/>
          <w:sz w:val="28"/>
          <w:szCs w:val="28"/>
        </w:rPr>
        <w:t>一、</w:t>
      </w:r>
      <w:r w:rsidRPr="00980DBD">
        <w:rPr>
          <w:rFonts w:ascii="Verdana" w:eastAsia="宋体" w:hAnsi="Verdana" w:cs="宋体"/>
          <w:color w:val="333333"/>
          <w:kern w:val="0"/>
          <w:sz w:val="28"/>
          <w:szCs w:val="28"/>
        </w:rPr>
        <w:t>硕博连读研究生的选拔对象为二年级学术学位硕士研究生。</w:t>
      </w:r>
      <w:r w:rsidRPr="00980DBD">
        <w:rPr>
          <w:rFonts w:ascii="Verdana" w:eastAsia="宋体" w:hAnsi="Verdana" w:cs="宋体"/>
          <w:color w:val="333333"/>
          <w:kern w:val="0"/>
          <w:sz w:val="28"/>
          <w:szCs w:val="28"/>
        </w:rPr>
        <w:t xml:space="preserve"> </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w:t>
      </w:r>
      <w:r w:rsidRPr="00980DBD">
        <w:rPr>
          <w:rFonts w:ascii="Verdana" w:eastAsia="宋体" w:hAnsi="Verdana" w:cs="宋体"/>
          <w:color w:val="333333"/>
          <w:kern w:val="0"/>
          <w:sz w:val="28"/>
          <w:szCs w:val="28"/>
        </w:rPr>
        <w:t>二、申请硕博连读研究生，需满足以下基本条件：</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1.</w:t>
      </w:r>
      <w:r w:rsidRPr="00980DBD">
        <w:rPr>
          <w:rFonts w:ascii="Verdana" w:eastAsia="宋体" w:hAnsi="Verdana" w:cs="宋体"/>
          <w:color w:val="333333"/>
          <w:kern w:val="0"/>
          <w:sz w:val="28"/>
          <w:szCs w:val="28"/>
        </w:rPr>
        <w:t>非定向研究生。</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2.</w:t>
      </w:r>
      <w:r w:rsidRPr="00980DBD">
        <w:rPr>
          <w:rFonts w:ascii="Verdana" w:eastAsia="宋体" w:hAnsi="Verdana" w:cs="宋体"/>
          <w:color w:val="333333"/>
          <w:kern w:val="0"/>
          <w:sz w:val="28"/>
          <w:szCs w:val="28"/>
        </w:rPr>
        <w:t>中期考核成绩优良。</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3.</w:t>
      </w:r>
      <w:r w:rsidRPr="00980DBD">
        <w:rPr>
          <w:rFonts w:ascii="Verdana" w:eastAsia="宋体" w:hAnsi="Verdana" w:cs="宋体"/>
          <w:color w:val="333333"/>
          <w:kern w:val="0"/>
          <w:sz w:val="28"/>
          <w:szCs w:val="28"/>
        </w:rPr>
        <w:t>达到《首都经济贸易大学学位条例细则》的硕士学位授予条件所规定的外语水平。</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4.</w:t>
      </w:r>
      <w:proofErr w:type="gramStart"/>
      <w:r w:rsidRPr="00980DBD">
        <w:rPr>
          <w:rFonts w:ascii="Verdana" w:eastAsia="宋体" w:hAnsi="Verdana" w:cs="宋体"/>
          <w:color w:val="333333"/>
          <w:kern w:val="0"/>
          <w:sz w:val="28"/>
          <w:szCs w:val="28"/>
        </w:rPr>
        <w:t>有同意</w:t>
      </w:r>
      <w:proofErr w:type="gramEnd"/>
      <w:r w:rsidRPr="00980DBD">
        <w:rPr>
          <w:rFonts w:ascii="Verdana" w:eastAsia="宋体" w:hAnsi="Verdana" w:cs="宋体"/>
          <w:color w:val="333333"/>
          <w:kern w:val="0"/>
          <w:sz w:val="28"/>
          <w:szCs w:val="28"/>
        </w:rPr>
        <w:t>接收的校内博士生导师。</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    5.</w:t>
      </w:r>
      <w:r w:rsidRPr="00980DBD">
        <w:rPr>
          <w:rFonts w:ascii="Verdana" w:eastAsia="宋体" w:hAnsi="Verdana" w:cs="宋体"/>
          <w:color w:val="333333"/>
          <w:kern w:val="0"/>
          <w:sz w:val="28"/>
          <w:szCs w:val="28"/>
        </w:rPr>
        <w:t>身心健康，达到国家要求的体检标准。</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三、选拔程序</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1.</w:t>
      </w:r>
      <w:r w:rsidRPr="00980DBD">
        <w:rPr>
          <w:rFonts w:ascii="Verdana" w:eastAsia="宋体" w:hAnsi="Verdana" w:cs="宋体"/>
          <w:color w:val="000000"/>
          <w:kern w:val="0"/>
          <w:sz w:val="28"/>
          <w:szCs w:val="28"/>
        </w:rPr>
        <w:t>申请人在研究生部规定时间内提出报名申请，同时向研究生部提交以下材料：</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1</w:t>
      </w:r>
      <w:r w:rsidRPr="00980DBD">
        <w:rPr>
          <w:rFonts w:ascii="Verdana" w:eastAsia="宋体" w:hAnsi="Verdana" w:cs="宋体"/>
          <w:color w:val="000000"/>
          <w:kern w:val="0"/>
          <w:sz w:val="28"/>
          <w:szCs w:val="28"/>
        </w:rPr>
        <w:t>）《首都经济贸易大学硕博连读研究生申请表》（见附表一）；</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2</w:t>
      </w:r>
      <w:r w:rsidRPr="00980DBD">
        <w:rPr>
          <w:rFonts w:ascii="Verdana" w:eastAsia="宋体" w:hAnsi="Verdana" w:cs="宋体"/>
          <w:color w:val="000000"/>
          <w:kern w:val="0"/>
          <w:sz w:val="28"/>
          <w:szCs w:val="28"/>
        </w:rPr>
        <w:t>）可以证明申请人科研水平的材料原件及复印件；</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3</w:t>
      </w:r>
      <w:r w:rsidRPr="00980DBD">
        <w:rPr>
          <w:rFonts w:ascii="Verdana" w:eastAsia="宋体" w:hAnsi="Verdana" w:cs="宋体"/>
          <w:color w:val="000000"/>
          <w:kern w:val="0"/>
          <w:sz w:val="28"/>
          <w:szCs w:val="28"/>
        </w:rPr>
        <w:t>）外语水平证明材料。</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t xml:space="preserve">2. </w:t>
      </w:r>
      <w:r w:rsidRPr="00980DBD">
        <w:rPr>
          <w:rFonts w:ascii="Verdana" w:eastAsia="宋体" w:hAnsi="Verdana" w:cs="宋体"/>
          <w:color w:val="000000"/>
          <w:kern w:val="0"/>
          <w:sz w:val="28"/>
          <w:szCs w:val="28"/>
        </w:rPr>
        <w:t>初选。研究生部对申请人所提交的申请材料进行形式审查，审查合格的申请人名单在首都经济贸易大学研究生部网站公示。</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lastRenderedPageBreak/>
        <w:t xml:space="preserve">3. </w:t>
      </w:r>
      <w:r w:rsidRPr="00980DBD">
        <w:rPr>
          <w:rFonts w:ascii="Verdana" w:eastAsia="宋体" w:hAnsi="Verdana" w:cs="宋体"/>
          <w:color w:val="000000"/>
          <w:kern w:val="0"/>
          <w:sz w:val="28"/>
          <w:szCs w:val="28"/>
        </w:rPr>
        <w:t>综合考核和录取</w:t>
      </w:r>
    </w:p>
    <w:p w:rsidR="00980DBD" w:rsidRPr="00980DBD" w:rsidRDefault="00980DBD" w:rsidP="00980DBD">
      <w:pPr>
        <w:widowControl/>
        <w:spacing w:line="240" w:lineRule="auto"/>
        <w:ind w:firstLine="560"/>
        <w:jc w:val="left"/>
        <w:rPr>
          <w:rFonts w:ascii="Verdana" w:eastAsia="宋体" w:hAnsi="Verdana" w:cs="宋体"/>
          <w:color w:val="333333"/>
          <w:kern w:val="0"/>
          <w:sz w:val="16"/>
          <w:szCs w:val="16"/>
        </w:rPr>
      </w:pPr>
      <w:r w:rsidRPr="00980DBD">
        <w:rPr>
          <w:rFonts w:ascii="Verdana" w:eastAsia="宋体" w:hAnsi="Verdana" w:cs="宋体"/>
          <w:color w:val="000000"/>
          <w:kern w:val="0"/>
          <w:sz w:val="28"/>
          <w:szCs w:val="28"/>
        </w:rPr>
        <w:t>申请硕博连读研究生的综合考核和录取工作参照当年博士研究生招生</w:t>
      </w: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申请</w:t>
      </w: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审核</w:t>
      </w:r>
      <w:r w:rsidRPr="00980DBD">
        <w:rPr>
          <w:rFonts w:ascii="Verdana" w:eastAsia="宋体" w:hAnsi="Verdana" w:cs="宋体"/>
          <w:color w:val="000000"/>
          <w:kern w:val="0"/>
          <w:sz w:val="28"/>
          <w:szCs w:val="28"/>
        </w:rPr>
        <w:t>”</w:t>
      </w:r>
      <w:r w:rsidRPr="00980DBD">
        <w:rPr>
          <w:rFonts w:ascii="Verdana" w:eastAsia="宋体" w:hAnsi="Verdana" w:cs="宋体"/>
          <w:color w:val="000000"/>
          <w:kern w:val="0"/>
          <w:sz w:val="28"/>
          <w:szCs w:val="28"/>
        </w:rPr>
        <w:t>制实施办法的相关规定和要求组织，并同时进行。</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四、学籍管理</w:t>
      </w:r>
    </w:p>
    <w:p w:rsidR="00980DBD" w:rsidRPr="00980DBD" w:rsidRDefault="00980DBD" w:rsidP="00980DBD">
      <w:pPr>
        <w:widowControl/>
        <w:spacing w:line="240" w:lineRule="auto"/>
        <w:ind w:firstLine="48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已具备博士生资格的硕博连读生，按照博士生管理。若因博士综合考试不合格或其他原因中途终止连读时，如未超过本人攻读硕士的最长修业年限（即从本人硕士入学起</w:t>
      </w:r>
      <w:r w:rsidRPr="00980DBD">
        <w:rPr>
          <w:rFonts w:ascii="Verdana" w:eastAsia="宋体" w:hAnsi="Verdana" w:cs="宋体"/>
          <w:color w:val="333333"/>
          <w:kern w:val="0"/>
          <w:sz w:val="28"/>
          <w:szCs w:val="28"/>
        </w:rPr>
        <w:t>5</w:t>
      </w:r>
      <w:r w:rsidRPr="00980DBD">
        <w:rPr>
          <w:rFonts w:ascii="Verdana" w:eastAsia="宋体" w:hAnsi="Verdana" w:cs="宋体"/>
          <w:color w:val="333333"/>
          <w:kern w:val="0"/>
          <w:sz w:val="28"/>
          <w:szCs w:val="28"/>
        </w:rPr>
        <w:t>年），且能保证在该修业年限内完成硕士毕业</w:t>
      </w:r>
      <w:r w:rsidRPr="00980DBD">
        <w:rPr>
          <w:rFonts w:ascii="Verdana" w:eastAsia="宋体" w:hAnsi="Verdana" w:cs="宋体"/>
          <w:color w:val="333333"/>
          <w:kern w:val="0"/>
          <w:sz w:val="28"/>
          <w:szCs w:val="28"/>
        </w:rPr>
        <w:t>/</w:t>
      </w:r>
      <w:r w:rsidRPr="00980DBD">
        <w:rPr>
          <w:rFonts w:ascii="Verdana" w:eastAsia="宋体" w:hAnsi="Verdana" w:cs="宋体"/>
          <w:color w:val="333333"/>
          <w:kern w:val="0"/>
          <w:sz w:val="28"/>
          <w:szCs w:val="28"/>
        </w:rPr>
        <w:t>学位论文，可</w:t>
      </w:r>
      <w:proofErr w:type="gramStart"/>
      <w:r w:rsidRPr="00980DBD">
        <w:rPr>
          <w:rFonts w:ascii="Verdana" w:eastAsia="宋体" w:hAnsi="Verdana" w:cs="宋体"/>
          <w:color w:val="333333"/>
          <w:kern w:val="0"/>
          <w:sz w:val="28"/>
          <w:szCs w:val="28"/>
        </w:rPr>
        <w:t>申请按</w:t>
      </w:r>
      <w:proofErr w:type="gramEnd"/>
      <w:r w:rsidRPr="00980DBD">
        <w:rPr>
          <w:rFonts w:ascii="Verdana" w:eastAsia="宋体" w:hAnsi="Verdana" w:cs="宋体"/>
          <w:color w:val="333333"/>
          <w:kern w:val="0"/>
          <w:sz w:val="28"/>
          <w:szCs w:val="28"/>
        </w:rPr>
        <w:t>硕士生培养，经研究生部批准后，转为硕士生管理。</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五、硕博连读培养对象选拔</w:t>
      </w:r>
    </w:p>
    <w:p w:rsidR="00980DBD" w:rsidRPr="00980DBD" w:rsidRDefault="00980DBD" w:rsidP="00980DBD">
      <w:pPr>
        <w:widowControl/>
        <w:spacing w:line="240" w:lineRule="auto"/>
        <w:ind w:firstLine="48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为提高硕博连读的申报质量，针对在研究生入学复试阶段表现出学术潜力和学术追求的研究生</w:t>
      </w:r>
      <w:r w:rsidRPr="00980DBD">
        <w:rPr>
          <w:rFonts w:ascii="Verdana" w:eastAsia="宋体" w:hAnsi="Verdana" w:cs="宋体"/>
          <w:color w:val="333333"/>
          <w:kern w:val="0"/>
          <w:sz w:val="28"/>
          <w:szCs w:val="28"/>
        </w:rPr>
        <w:t>,</w:t>
      </w:r>
      <w:r w:rsidRPr="00980DBD">
        <w:rPr>
          <w:rFonts w:ascii="Verdana" w:eastAsia="宋体" w:hAnsi="Verdana" w:cs="宋体"/>
          <w:color w:val="333333"/>
          <w:kern w:val="0"/>
          <w:sz w:val="28"/>
          <w:szCs w:val="28"/>
        </w:rPr>
        <w:t>开展硕博连读培养对象选拔工作</w:t>
      </w:r>
      <w:r w:rsidRPr="00980DBD">
        <w:rPr>
          <w:rFonts w:ascii="Verdana" w:eastAsia="宋体" w:hAnsi="Verdana" w:cs="宋体"/>
          <w:color w:val="333333"/>
          <w:kern w:val="0"/>
          <w:sz w:val="28"/>
          <w:szCs w:val="28"/>
        </w:rPr>
        <w:t>,</w:t>
      </w:r>
      <w:r w:rsidRPr="00980DBD">
        <w:rPr>
          <w:rFonts w:ascii="Verdana" w:eastAsia="宋体" w:hAnsi="Verdana" w:cs="宋体"/>
          <w:color w:val="333333"/>
          <w:kern w:val="0"/>
          <w:sz w:val="28"/>
          <w:szCs w:val="28"/>
        </w:rPr>
        <w:t>具体安排如下：</w:t>
      </w:r>
    </w:p>
    <w:p w:rsidR="00980DBD" w:rsidRPr="00980DBD" w:rsidRDefault="00980DBD" w:rsidP="00980DBD">
      <w:pPr>
        <w:widowControl/>
        <w:spacing w:line="240" w:lineRule="auto"/>
        <w:ind w:firstLine="48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一年级学术学位硕士研究生在入学后两个月内，填写《首都经济贸易大学硕博连读培养对象选拔申请表》（见附表二），经本人导师和博士点拟接收导师同意，报研究生部备案。</w:t>
      </w:r>
    </w:p>
    <w:p w:rsidR="00980DBD" w:rsidRPr="00980DBD" w:rsidRDefault="00980DBD" w:rsidP="00980DBD">
      <w:pPr>
        <w:widowControl/>
        <w:spacing w:line="240" w:lineRule="auto"/>
        <w:ind w:firstLine="480"/>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导师应对硕博连读培养对象制定以攻读博士学位为目标的个人培养计划，研究生部将对其研究生科研项目申请给予优先支持，并对其与导师的联合科研活动给予一定的支持。各院系也应在其科研活动和课程学习等方面给予更多支持。</w:t>
      </w:r>
    </w:p>
    <w:p w:rsidR="00980DBD" w:rsidRPr="00980DBD" w:rsidRDefault="00980DBD" w:rsidP="00980DBD">
      <w:pPr>
        <w:widowControl/>
        <w:spacing w:line="240" w:lineRule="auto"/>
        <w:jc w:val="left"/>
        <w:rPr>
          <w:rFonts w:ascii="Verdana" w:eastAsia="宋体" w:hAnsi="Verdana" w:cs="宋体"/>
          <w:color w:val="333333"/>
          <w:kern w:val="0"/>
          <w:sz w:val="16"/>
          <w:szCs w:val="16"/>
        </w:rPr>
      </w:pPr>
      <w:r w:rsidRPr="00980DBD">
        <w:rPr>
          <w:rFonts w:ascii="Verdana" w:eastAsia="宋体" w:hAnsi="Verdana" w:cs="宋体"/>
          <w:color w:val="333333"/>
          <w:kern w:val="0"/>
          <w:sz w:val="28"/>
          <w:szCs w:val="28"/>
        </w:rPr>
        <w:t>六、本规定由研究生部负责解释。</w:t>
      </w:r>
    </w:p>
    <w:p w:rsidR="00E2064E" w:rsidRPr="00980DBD" w:rsidRDefault="00980DBD" w:rsidP="00980DBD">
      <w:pPr>
        <w:widowControl/>
        <w:spacing w:line="240" w:lineRule="auto"/>
        <w:jc w:val="left"/>
        <w:rPr>
          <w:rFonts w:ascii="Verdana" w:eastAsia="宋体" w:hAnsi="Verdana" w:cs="宋体"/>
          <w:color w:val="333333"/>
          <w:kern w:val="0"/>
          <w:sz w:val="28"/>
          <w:szCs w:val="28"/>
        </w:rPr>
      </w:pPr>
      <w:r w:rsidRPr="00980DBD">
        <w:rPr>
          <w:rFonts w:ascii="Verdana" w:eastAsia="宋体" w:hAnsi="Verdana" w:cs="宋体"/>
          <w:color w:val="333333"/>
          <w:kern w:val="0"/>
          <w:sz w:val="28"/>
          <w:szCs w:val="28"/>
        </w:rPr>
        <w:t>附表</w:t>
      </w:r>
      <w:proofErr w:type="gramStart"/>
      <w:r w:rsidRPr="00980DBD">
        <w:rPr>
          <w:rFonts w:ascii="Verdana" w:eastAsia="宋体" w:hAnsi="Verdana" w:cs="宋体"/>
          <w:color w:val="333333"/>
          <w:kern w:val="0"/>
          <w:sz w:val="28"/>
          <w:szCs w:val="28"/>
        </w:rPr>
        <w:t>一</w:t>
      </w:r>
      <w:proofErr w:type="gramEnd"/>
      <w:r w:rsidRPr="00980DBD">
        <w:rPr>
          <w:rFonts w:ascii="Verdana" w:eastAsia="宋体" w:hAnsi="Verdana" w:cs="宋体"/>
          <w:color w:val="333333"/>
          <w:kern w:val="0"/>
          <w:sz w:val="28"/>
          <w:szCs w:val="28"/>
        </w:rPr>
        <w:t>：首都经济贸易大学硕博连读研究生申请表</w:t>
      </w:r>
      <w:r w:rsidRPr="00980DBD">
        <w:rPr>
          <w:rFonts w:ascii="Verdana" w:eastAsia="宋体" w:hAnsi="Verdana" w:cs="宋体"/>
          <w:color w:val="333333"/>
          <w:kern w:val="0"/>
          <w:sz w:val="28"/>
          <w:szCs w:val="28"/>
        </w:rPr>
        <w:t>.</w:t>
      </w:r>
      <w:proofErr w:type="gramStart"/>
      <w:r w:rsidRPr="00980DBD">
        <w:rPr>
          <w:rFonts w:ascii="Verdana" w:eastAsia="宋体" w:hAnsi="Verdana" w:cs="宋体"/>
          <w:color w:val="333333"/>
          <w:kern w:val="0"/>
          <w:sz w:val="28"/>
          <w:szCs w:val="28"/>
        </w:rPr>
        <w:t>doc</w:t>
      </w:r>
      <w:proofErr w:type="gramEnd"/>
    </w:p>
    <w:p w:rsidR="00980DBD" w:rsidRPr="00980DBD" w:rsidRDefault="00980DBD" w:rsidP="00980DBD">
      <w:pPr>
        <w:widowControl/>
        <w:spacing w:line="240" w:lineRule="auto"/>
        <w:jc w:val="left"/>
        <w:rPr>
          <w:rFonts w:ascii="Verdana" w:eastAsia="宋体" w:hAnsi="Verdana" w:cs="宋体"/>
          <w:color w:val="333333"/>
          <w:kern w:val="0"/>
          <w:sz w:val="28"/>
          <w:szCs w:val="28"/>
        </w:rPr>
      </w:pPr>
      <w:r w:rsidRPr="00980DBD">
        <w:rPr>
          <w:rFonts w:ascii="Verdana" w:eastAsia="宋体" w:hAnsi="Verdana" w:cs="宋体"/>
          <w:color w:val="333333"/>
          <w:kern w:val="0"/>
          <w:sz w:val="28"/>
          <w:szCs w:val="28"/>
        </w:rPr>
        <w:lastRenderedPageBreak/>
        <w:t>附表二：首都经济贸易大学硕博连读培养对象选拔申请表</w:t>
      </w:r>
      <w:r w:rsidRPr="00980DBD">
        <w:rPr>
          <w:rFonts w:ascii="Verdana" w:eastAsia="宋体" w:hAnsi="Verdana" w:cs="宋体"/>
          <w:color w:val="333333"/>
          <w:kern w:val="0"/>
          <w:sz w:val="28"/>
          <w:szCs w:val="28"/>
        </w:rPr>
        <w:t>.</w:t>
      </w:r>
      <w:proofErr w:type="gramStart"/>
      <w:r w:rsidRPr="00980DBD">
        <w:rPr>
          <w:rFonts w:ascii="Verdana" w:eastAsia="宋体" w:hAnsi="Verdana" w:cs="宋体"/>
          <w:color w:val="333333"/>
          <w:kern w:val="0"/>
          <w:sz w:val="28"/>
          <w:szCs w:val="28"/>
        </w:rPr>
        <w:t>doc</w:t>
      </w:r>
      <w:proofErr w:type="gramEnd"/>
    </w:p>
    <w:sectPr w:rsidR="00980DBD" w:rsidRPr="00980DBD" w:rsidSect="00E2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95" w:rsidRDefault="00A33895" w:rsidP="00B7070B">
      <w:pPr>
        <w:spacing w:line="240" w:lineRule="auto"/>
      </w:pPr>
      <w:r>
        <w:separator/>
      </w:r>
    </w:p>
  </w:endnote>
  <w:endnote w:type="continuationSeparator" w:id="0">
    <w:p w:rsidR="00A33895" w:rsidRDefault="00A33895" w:rsidP="00B70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95" w:rsidRDefault="00A33895" w:rsidP="00B7070B">
      <w:pPr>
        <w:spacing w:line="240" w:lineRule="auto"/>
      </w:pPr>
      <w:r>
        <w:separator/>
      </w:r>
    </w:p>
  </w:footnote>
  <w:footnote w:type="continuationSeparator" w:id="0">
    <w:p w:rsidR="00A33895" w:rsidRDefault="00A33895" w:rsidP="00B707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DBD"/>
    <w:rsid w:val="005E2198"/>
    <w:rsid w:val="00656280"/>
    <w:rsid w:val="008750EE"/>
    <w:rsid w:val="00980DBD"/>
    <w:rsid w:val="00A33895"/>
    <w:rsid w:val="00AF00D9"/>
    <w:rsid w:val="00B7070B"/>
    <w:rsid w:val="00DF2840"/>
    <w:rsid w:val="00E2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DBD"/>
    <w:pPr>
      <w:widowControl/>
      <w:spacing w:line="240" w:lineRule="auto"/>
      <w:jc w:val="left"/>
    </w:pPr>
    <w:rPr>
      <w:rFonts w:ascii="宋体" w:eastAsia="宋体" w:hAnsi="宋体" w:cs="宋体"/>
      <w:kern w:val="0"/>
      <w:sz w:val="24"/>
      <w:szCs w:val="24"/>
    </w:rPr>
  </w:style>
  <w:style w:type="paragraph" w:styleId="a4">
    <w:name w:val="header"/>
    <w:basedOn w:val="a"/>
    <w:link w:val="Char"/>
    <w:uiPriority w:val="99"/>
    <w:unhideWhenUsed/>
    <w:rsid w:val="00B7070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7070B"/>
    <w:rPr>
      <w:sz w:val="18"/>
      <w:szCs w:val="18"/>
    </w:rPr>
  </w:style>
  <w:style w:type="paragraph" w:styleId="a5">
    <w:name w:val="footer"/>
    <w:basedOn w:val="a"/>
    <w:link w:val="Char0"/>
    <w:uiPriority w:val="99"/>
    <w:unhideWhenUsed/>
    <w:rsid w:val="00B7070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707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DBD"/>
    <w:pPr>
      <w:widowControl/>
      <w:spacing w:line="240" w:lineRule="auto"/>
      <w:jc w:val="left"/>
    </w:pPr>
    <w:rPr>
      <w:rFonts w:ascii="宋体" w:eastAsia="宋体" w:hAnsi="宋体" w:cs="宋体"/>
      <w:kern w:val="0"/>
      <w:sz w:val="24"/>
      <w:szCs w:val="24"/>
    </w:rPr>
  </w:style>
  <w:style w:type="paragraph" w:styleId="a4">
    <w:name w:val="header"/>
    <w:basedOn w:val="a"/>
    <w:link w:val="Char"/>
    <w:uiPriority w:val="99"/>
    <w:unhideWhenUsed/>
    <w:rsid w:val="00B7070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B7070B"/>
    <w:rPr>
      <w:sz w:val="18"/>
      <w:szCs w:val="18"/>
    </w:rPr>
  </w:style>
  <w:style w:type="paragraph" w:styleId="a5">
    <w:name w:val="footer"/>
    <w:basedOn w:val="a"/>
    <w:link w:val="Char0"/>
    <w:uiPriority w:val="99"/>
    <w:unhideWhenUsed/>
    <w:rsid w:val="00B7070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B707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6892">
      <w:bodyDiv w:val="1"/>
      <w:marLeft w:val="0"/>
      <w:marRight w:val="0"/>
      <w:marTop w:val="0"/>
      <w:marBottom w:val="0"/>
      <w:divBdr>
        <w:top w:val="none" w:sz="0" w:space="0" w:color="auto"/>
        <w:left w:val="none" w:sz="0" w:space="0" w:color="auto"/>
        <w:bottom w:val="none" w:sz="0" w:space="0" w:color="auto"/>
        <w:right w:val="none" w:sz="0" w:space="0" w:color="auto"/>
      </w:divBdr>
      <w:divsChild>
        <w:div w:id="385109850">
          <w:marLeft w:val="0"/>
          <w:marRight w:val="0"/>
          <w:marTop w:val="0"/>
          <w:marBottom w:val="0"/>
          <w:divBdr>
            <w:top w:val="none" w:sz="0" w:space="0" w:color="auto"/>
            <w:left w:val="none" w:sz="0" w:space="0" w:color="auto"/>
            <w:bottom w:val="none" w:sz="0" w:space="0" w:color="auto"/>
            <w:right w:val="none" w:sz="0" w:space="0" w:color="auto"/>
          </w:divBdr>
        </w:div>
        <w:div w:id="1509174064">
          <w:marLeft w:val="0"/>
          <w:marRight w:val="0"/>
          <w:marTop w:val="0"/>
          <w:marBottom w:val="0"/>
          <w:divBdr>
            <w:top w:val="none" w:sz="0" w:space="0" w:color="auto"/>
            <w:left w:val="none" w:sz="0" w:space="0" w:color="auto"/>
            <w:bottom w:val="none" w:sz="0" w:space="0" w:color="auto"/>
            <w:right w:val="none" w:sz="0" w:space="0" w:color="auto"/>
          </w:divBdr>
        </w:div>
        <w:div w:id="1498350405">
          <w:marLeft w:val="0"/>
          <w:marRight w:val="0"/>
          <w:marTop w:val="0"/>
          <w:marBottom w:val="0"/>
          <w:divBdr>
            <w:top w:val="none" w:sz="0" w:space="0" w:color="auto"/>
            <w:left w:val="none" w:sz="0" w:space="0" w:color="auto"/>
            <w:bottom w:val="none" w:sz="0" w:space="0" w:color="auto"/>
            <w:right w:val="none" w:sz="0" w:space="0" w:color="auto"/>
          </w:divBdr>
        </w:div>
        <w:div w:id="2009018586">
          <w:marLeft w:val="0"/>
          <w:marRight w:val="0"/>
          <w:marTop w:val="0"/>
          <w:marBottom w:val="0"/>
          <w:divBdr>
            <w:top w:val="none" w:sz="0" w:space="0" w:color="auto"/>
            <w:left w:val="none" w:sz="0" w:space="0" w:color="auto"/>
            <w:bottom w:val="none" w:sz="0" w:space="0" w:color="auto"/>
            <w:right w:val="none" w:sz="0" w:space="0" w:color="auto"/>
          </w:divBdr>
        </w:div>
        <w:div w:id="952517486">
          <w:marLeft w:val="0"/>
          <w:marRight w:val="0"/>
          <w:marTop w:val="0"/>
          <w:marBottom w:val="0"/>
          <w:divBdr>
            <w:top w:val="none" w:sz="0" w:space="0" w:color="auto"/>
            <w:left w:val="none" w:sz="0" w:space="0" w:color="auto"/>
            <w:bottom w:val="none" w:sz="0" w:space="0" w:color="auto"/>
            <w:right w:val="none" w:sz="0" w:space="0" w:color="auto"/>
          </w:divBdr>
        </w:div>
        <w:div w:id="2009093830">
          <w:marLeft w:val="0"/>
          <w:marRight w:val="0"/>
          <w:marTop w:val="0"/>
          <w:marBottom w:val="0"/>
          <w:divBdr>
            <w:top w:val="none" w:sz="0" w:space="0" w:color="auto"/>
            <w:left w:val="none" w:sz="0" w:space="0" w:color="auto"/>
            <w:bottom w:val="none" w:sz="0" w:space="0" w:color="auto"/>
            <w:right w:val="none" w:sz="0" w:space="0" w:color="auto"/>
          </w:divBdr>
        </w:div>
        <w:div w:id="2104380369">
          <w:marLeft w:val="0"/>
          <w:marRight w:val="0"/>
          <w:marTop w:val="0"/>
          <w:marBottom w:val="0"/>
          <w:divBdr>
            <w:top w:val="none" w:sz="0" w:space="0" w:color="auto"/>
            <w:left w:val="none" w:sz="0" w:space="0" w:color="auto"/>
            <w:bottom w:val="none" w:sz="0" w:space="0" w:color="auto"/>
            <w:right w:val="none" w:sz="0" w:space="0" w:color="auto"/>
          </w:divBdr>
        </w:div>
        <w:div w:id="770783074">
          <w:marLeft w:val="0"/>
          <w:marRight w:val="0"/>
          <w:marTop w:val="0"/>
          <w:marBottom w:val="0"/>
          <w:divBdr>
            <w:top w:val="none" w:sz="0" w:space="0" w:color="auto"/>
            <w:left w:val="none" w:sz="0" w:space="0" w:color="auto"/>
            <w:bottom w:val="none" w:sz="0" w:space="0" w:color="auto"/>
            <w:right w:val="none" w:sz="0" w:space="0" w:color="auto"/>
          </w:divBdr>
        </w:div>
        <w:div w:id="999577849">
          <w:marLeft w:val="0"/>
          <w:marRight w:val="0"/>
          <w:marTop w:val="0"/>
          <w:marBottom w:val="0"/>
          <w:divBdr>
            <w:top w:val="none" w:sz="0" w:space="0" w:color="auto"/>
            <w:left w:val="none" w:sz="0" w:space="0" w:color="auto"/>
            <w:bottom w:val="none" w:sz="0" w:space="0" w:color="auto"/>
            <w:right w:val="none" w:sz="0" w:space="0" w:color="auto"/>
          </w:divBdr>
        </w:div>
        <w:div w:id="1806506888">
          <w:marLeft w:val="0"/>
          <w:marRight w:val="0"/>
          <w:marTop w:val="0"/>
          <w:marBottom w:val="0"/>
          <w:divBdr>
            <w:top w:val="none" w:sz="0" w:space="0" w:color="auto"/>
            <w:left w:val="none" w:sz="0" w:space="0" w:color="auto"/>
            <w:bottom w:val="none" w:sz="0" w:space="0" w:color="auto"/>
            <w:right w:val="none" w:sz="0" w:space="0" w:color="auto"/>
          </w:divBdr>
        </w:div>
        <w:div w:id="1065569854">
          <w:marLeft w:val="0"/>
          <w:marRight w:val="0"/>
          <w:marTop w:val="0"/>
          <w:marBottom w:val="0"/>
          <w:divBdr>
            <w:top w:val="none" w:sz="0" w:space="0" w:color="auto"/>
            <w:left w:val="none" w:sz="0" w:space="0" w:color="auto"/>
            <w:bottom w:val="none" w:sz="0" w:space="0" w:color="auto"/>
            <w:right w:val="none" w:sz="0" w:space="0" w:color="auto"/>
          </w:divBdr>
        </w:div>
        <w:div w:id="1391923583">
          <w:marLeft w:val="0"/>
          <w:marRight w:val="0"/>
          <w:marTop w:val="0"/>
          <w:marBottom w:val="0"/>
          <w:divBdr>
            <w:top w:val="none" w:sz="0" w:space="0" w:color="auto"/>
            <w:left w:val="none" w:sz="0" w:space="0" w:color="auto"/>
            <w:bottom w:val="none" w:sz="0" w:space="0" w:color="auto"/>
            <w:right w:val="none" w:sz="0" w:space="0" w:color="auto"/>
          </w:divBdr>
        </w:div>
        <w:div w:id="876240389">
          <w:marLeft w:val="0"/>
          <w:marRight w:val="0"/>
          <w:marTop w:val="0"/>
          <w:marBottom w:val="0"/>
          <w:divBdr>
            <w:top w:val="none" w:sz="0" w:space="0" w:color="auto"/>
            <w:left w:val="none" w:sz="0" w:space="0" w:color="auto"/>
            <w:bottom w:val="none" w:sz="0" w:space="0" w:color="auto"/>
            <w:right w:val="none" w:sz="0" w:space="0" w:color="auto"/>
          </w:divBdr>
        </w:div>
        <w:div w:id="479350843">
          <w:marLeft w:val="0"/>
          <w:marRight w:val="0"/>
          <w:marTop w:val="0"/>
          <w:marBottom w:val="0"/>
          <w:divBdr>
            <w:top w:val="none" w:sz="0" w:space="0" w:color="auto"/>
            <w:left w:val="none" w:sz="0" w:space="0" w:color="auto"/>
            <w:bottom w:val="none" w:sz="0" w:space="0" w:color="auto"/>
            <w:right w:val="none" w:sz="0" w:space="0" w:color="auto"/>
          </w:divBdr>
        </w:div>
        <w:div w:id="233514032">
          <w:marLeft w:val="0"/>
          <w:marRight w:val="0"/>
          <w:marTop w:val="0"/>
          <w:marBottom w:val="0"/>
          <w:divBdr>
            <w:top w:val="none" w:sz="0" w:space="0" w:color="auto"/>
            <w:left w:val="none" w:sz="0" w:space="0" w:color="auto"/>
            <w:bottom w:val="none" w:sz="0" w:space="0" w:color="auto"/>
            <w:right w:val="none" w:sz="0" w:space="0" w:color="auto"/>
          </w:divBdr>
        </w:div>
        <w:div w:id="1303658050">
          <w:marLeft w:val="0"/>
          <w:marRight w:val="0"/>
          <w:marTop w:val="0"/>
          <w:marBottom w:val="0"/>
          <w:divBdr>
            <w:top w:val="none" w:sz="0" w:space="0" w:color="auto"/>
            <w:left w:val="none" w:sz="0" w:space="0" w:color="auto"/>
            <w:bottom w:val="none" w:sz="0" w:space="0" w:color="auto"/>
            <w:right w:val="none" w:sz="0" w:space="0" w:color="auto"/>
          </w:divBdr>
        </w:div>
        <w:div w:id="3920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881</Characters>
  <Application>Microsoft Office Word</Application>
  <DocSecurity>0</DocSecurity>
  <Lines>7</Lines>
  <Paragraphs>2</Paragraphs>
  <ScaleCrop>false</ScaleCrop>
  <Company>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xueweiban</dc:creator>
  <cp:lastModifiedBy>DELL</cp:lastModifiedBy>
  <cp:revision>2</cp:revision>
  <dcterms:created xsi:type="dcterms:W3CDTF">2016-10-13T01:58:00Z</dcterms:created>
  <dcterms:modified xsi:type="dcterms:W3CDTF">2016-10-13T01:58:00Z</dcterms:modified>
</cp:coreProperties>
</file>